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1723D47D" w:rsidR="000F015B" w:rsidRDefault="37005663" w:rsidP="21CEFACA">
      <w:pPr>
        <w:rPr>
          <w:b/>
          <w:bCs/>
          <w:lang w:val="en-GB"/>
        </w:rPr>
      </w:pPr>
      <w:bookmarkStart w:id="0" w:name="_GoBack"/>
      <w:bookmarkEnd w:id="0"/>
      <w:r w:rsidRPr="21CEFACA">
        <w:rPr>
          <w:b/>
          <w:bCs/>
          <w:lang w:val="en-GB"/>
        </w:rPr>
        <w:t>Gender Equality Enhancement Fund</w:t>
      </w:r>
    </w:p>
    <w:p w14:paraId="0F6E7A75" w14:textId="6F42A440" w:rsidR="37005663" w:rsidRDefault="37005663" w:rsidP="21CEFACA">
      <w:pPr>
        <w:rPr>
          <w:b/>
          <w:bCs/>
          <w:lang w:val="en-GB"/>
        </w:rPr>
      </w:pPr>
      <w:r w:rsidRPr="21CEFACA">
        <w:rPr>
          <w:b/>
          <w:bCs/>
          <w:lang w:val="en-GB"/>
        </w:rPr>
        <w:t>Call for Applications – 2020</w:t>
      </w:r>
    </w:p>
    <w:p w14:paraId="0737268D" w14:textId="28337F16" w:rsidR="574DD3A2" w:rsidRDefault="574DD3A2" w:rsidP="21CEFACA">
      <w:pPr>
        <w:rPr>
          <w:lang w:val="en-GB"/>
        </w:rPr>
      </w:pPr>
    </w:p>
    <w:p w14:paraId="3FFA4A6D" w14:textId="1D314993" w:rsidR="52CFD989" w:rsidRDefault="52CFD989" w:rsidP="21CEFACA">
      <w:pPr>
        <w:rPr>
          <w:b/>
          <w:bCs/>
          <w:lang w:val="en-GB"/>
        </w:rPr>
      </w:pPr>
      <w:r w:rsidRPr="21CEFACA">
        <w:rPr>
          <w:b/>
          <w:bCs/>
          <w:lang w:val="en-GB"/>
        </w:rPr>
        <w:t>Call for Proposals</w:t>
      </w:r>
    </w:p>
    <w:p w14:paraId="7F7FA525" w14:textId="570F03E7" w:rsidR="52CFD989" w:rsidRDefault="52CFD989" w:rsidP="21CEFACA">
      <w:pPr>
        <w:rPr>
          <w:lang w:val="en-GB"/>
        </w:rPr>
      </w:pPr>
      <w:r w:rsidRPr="21CEFACA">
        <w:rPr>
          <w:lang w:val="en-GB"/>
        </w:rPr>
        <w:t>Higher Education Institutions (HEIs) are invited to submit proposals for funding under the Gender Equality Enhancement Fund</w:t>
      </w:r>
      <w:r w:rsidR="08E68FD7" w:rsidRPr="21CEFACA">
        <w:rPr>
          <w:lang w:val="en-GB"/>
        </w:rPr>
        <w:t>,</w:t>
      </w:r>
      <w:r w:rsidRPr="21CEFACA">
        <w:rPr>
          <w:lang w:val="en-GB"/>
        </w:rPr>
        <w:t xml:space="preserve"> </w:t>
      </w:r>
      <w:r w:rsidR="35332250" w:rsidRPr="21CEFACA">
        <w:rPr>
          <w:lang w:val="en-GB"/>
        </w:rPr>
        <w:t xml:space="preserve">in line with the requirements set out in this document.  </w:t>
      </w:r>
    </w:p>
    <w:p w14:paraId="0099AF1E" w14:textId="66509989" w:rsidR="3979B95D" w:rsidRDefault="3979B95D" w:rsidP="21CEFACA">
      <w:pPr>
        <w:rPr>
          <w:lang w:val="en-GB"/>
        </w:rPr>
      </w:pPr>
      <w:r w:rsidRPr="21CEFACA">
        <w:rPr>
          <w:lang w:val="en-GB"/>
        </w:rPr>
        <w:t xml:space="preserve">This Call is managed by the Higher Education Authority (HEA).  Following a competitive process based on this call for applications from HEIs, the HEA will approve funding </w:t>
      </w:r>
      <w:r w:rsidR="35332250" w:rsidRPr="21CEFACA">
        <w:rPr>
          <w:lang w:val="en-GB"/>
        </w:rPr>
        <w:t>to support gender equality initiatives to be implemented nationally</w:t>
      </w:r>
      <w:r w:rsidR="2FC7AE0F" w:rsidRPr="21CEFACA">
        <w:rPr>
          <w:lang w:val="en-GB"/>
        </w:rPr>
        <w:t>.</w:t>
      </w:r>
    </w:p>
    <w:p w14:paraId="3D497D34" w14:textId="0DFF4529" w:rsidR="2FC7AE0F" w:rsidRDefault="2FC7AE0F" w:rsidP="21CEFACA">
      <w:pPr>
        <w:spacing w:after="0" w:line="240" w:lineRule="auto"/>
        <w:rPr>
          <w:rFonts w:ascii="Calibri" w:eastAsia="Calibri" w:hAnsi="Calibri" w:cs="Calibri"/>
          <w:lang w:val="en-GB"/>
        </w:rPr>
      </w:pPr>
      <w:r w:rsidRPr="21CEFACA">
        <w:rPr>
          <w:rFonts w:ascii="Calibri" w:eastAsia="Calibri" w:hAnsi="Calibri" w:cs="Calibri"/>
          <w:lang w:val="en-GB"/>
        </w:rPr>
        <w:t xml:space="preserve">Timeframe: </w:t>
      </w:r>
    </w:p>
    <w:p w14:paraId="074B6846" w14:textId="6623BBE6" w:rsidR="2FC7AE0F" w:rsidRDefault="2FC7AE0F" w:rsidP="21CEFACA">
      <w:pPr>
        <w:pStyle w:val="ListParagraph"/>
        <w:numPr>
          <w:ilvl w:val="0"/>
          <w:numId w:val="5"/>
        </w:numPr>
        <w:spacing w:after="0" w:line="240" w:lineRule="auto"/>
        <w:rPr>
          <w:rFonts w:eastAsiaTheme="minorEastAsia"/>
        </w:rPr>
      </w:pPr>
      <w:r w:rsidRPr="21CEFACA">
        <w:rPr>
          <w:rFonts w:ascii="Calibri" w:eastAsia="Calibri" w:hAnsi="Calibri" w:cs="Calibri"/>
          <w:lang w:val="en-GB"/>
        </w:rPr>
        <w:t xml:space="preserve">Call for applications issues to HEIs – </w:t>
      </w:r>
      <w:r w:rsidRPr="21CEFACA">
        <w:rPr>
          <w:rFonts w:ascii="Calibri" w:eastAsia="Calibri" w:hAnsi="Calibri" w:cs="Calibri"/>
          <w:b/>
          <w:bCs/>
          <w:lang w:val="en-GB"/>
        </w:rPr>
        <w:t>8</w:t>
      </w:r>
      <w:r w:rsidRPr="21CEFACA">
        <w:rPr>
          <w:rFonts w:ascii="Calibri" w:eastAsia="Calibri" w:hAnsi="Calibri" w:cs="Calibri"/>
          <w:b/>
          <w:bCs/>
          <w:vertAlign w:val="superscript"/>
          <w:lang w:val="en-GB"/>
        </w:rPr>
        <w:t>th</w:t>
      </w:r>
      <w:r w:rsidRPr="21CEFACA">
        <w:rPr>
          <w:rFonts w:ascii="Calibri" w:eastAsia="Calibri" w:hAnsi="Calibri" w:cs="Calibri"/>
          <w:b/>
          <w:bCs/>
          <w:lang w:val="en-GB"/>
        </w:rPr>
        <w:t xml:space="preserve"> May 2020</w:t>
      </w:r>
    </w:p>
    <w:p w14:paraId="5285536A" w14:textId="68F73113" w:rsidR="2FC7AE0F" w:rsidRDefault="2FC7AE0F" w:rsidP="21CEFACA">
      <w:pPr>
        <w:pStyle w:val="ListParagraph"/>
        <w:numPr>
          <w:ilvl w:val="0"/>
          <w:numId w:val="5"/>
        </w:numPr>
        <w:spacing w:after="0" w:line="240" w:lineRule="auto"/>
        <w:rPr>
          <w:rFonts w:eastAsiaTheme="minorEastAsia"/>
        </w:rPr>
      </w:pPr>
      <w:r w:rsidRPr="21CEFACA">
        <w:rPr>
          <w:rFonts w:ascii="Calibri" w:eastAsia="Calibri" w:hAnsi="Calibri" w:cs="Calibri"/>
          <w:lang w:val="en-GB"/>
        </w:rPr>
        <w:t xml:space="preserve">Deadline for applications - </w:t>
      </w:r>
      <w:r w:rsidRPr="21CEFACA">
        <w:rPr>
          <w:rFonts w:ascii="Calibri" w:eastAsia="Calibri" w:hAnsi="Calibri" w:cs="Calibri"/>
          <w:b/>
          <w:bCs/>
          <w:lang w:val="en-GB"/>
        </w:rPr>
        <w:t>12:00</w:t>
      </w:r>
      <w:r w:rsidR="304E2B89" w:rsidRPr="21CEFACA">
        <w:rPr>
          <w:rFonts w:ascii="Calibri" w:eastAsia="Calibri" w:hAnsi="Calibri" w:cs="Calibri"/>
          <w:b/>
          <w:bCs/>
          <w:lang w:val="en-GB"/>
        </w:rPr>
        <w:t>pm</w:t>
      </w:r>
      <w:r w:rsidRPr="21CEFACA">
        <w:rPr>
          <w:rFonts w:ascii="Calibri" w:eastAsia="Calibri" w:hAnsi="Calibri" w:cs="Calibri"/>
          <w:b/>
          <w:bCs/>
          <w:lang w:val="en-GB"/>
        </w:rPr>
        <w:t xml:space="preserve"> </w:t>
      </w:r>
      <w:r w:rsidR="791CE0BD" w:rsidRPr="21CEFACA">
        <w:rPr>
          <w:rFonts w:ascii="Calibri" w:eastAsia="Calibri" w:hAnsi="Calibri" w:cs="Calibri"/>
          <w:b/>
          <w:bCs/>
          <w:lang w:val="en-GB"/>
        </w:rPr>
        <w:t>12</w:t>
      </w:r>
      <w:r w:rsidRPr="21CEFACA">
        <w:rPr>
          <w:rFonts w:ascii="Calibri" w:eastAsia="Calibri" w:hAnsi="Calibri" w:cs="Calibri"/>
          <w:b/>
          <w:bCs/>
          <w:vertAlign w:val="superscript"/>
          <w:lang w:val="en-GB"/>
        </w:rPr>
        <w:t>th</w:t>
      </w:r>
      <w:r w:rsidRPr="21CEFACA">
        <w:rPr>
          <w:rFonts w:ascii="Calibri" w:eastAsia="Calibri" w:hAnsi="Calibri" w:cs="Calibri"/>
          <w:b/>
          <w:bCs/>
          <w:lang w:val="en-GB"/>
        </w:rPr>
        <w:t xml:space="preserve"> </w:t>
      </w:r>
      <w:r w:rsidR="3C2CAEF9" w:rsidRPr="21CEFACA">
        <w:rPr>
          <w:rFonts w:ascii="Calibri" w:eastAsia="Calibri" w:hAnsi="Calibri" w:cs="Calibri"/>
          <w:b/>
          <w:bCs/>
          <w:lang w:val="en-GB"/>
        </w:rPr>
        <w:t>June</w:t>
      </w:r>
      <w:r w:rsidRPr="21CEFACA">
        <w:rPr>
          <w:rFonts w:ascii="Calibri" w:eastAsia="Calibri" w:hAnsi="Calibri" w:cs="Calibri"/>
          <w:b/>
          <w:bCs/>
          <w:lang w:val="en-GB"/>
        </w:rPr>
        <w:t xml:space="preserve"> 20</w:t>
      </w:r>
      <w:r w:rsidR="2DA663CC" w:rsidRPr="21CEFACA">
        <w:rPr>
          <w:rFonts w:ascii="Calibri" w:eastAsia="Calibri" w:hAnsi="Calibri" w:cs="Calibri"/>
          <w:b/>
          <w:bCs/>
          <w:lang w:val="en-GB"/>
        </w:rPr>
        <w:t>20</w:t>
      </w:r>
      <w:r w:rsidRPr="21CEFACA">
        <w:rPr>
          <w:rFonts w:ascii="Calibri" w:eastAsia="Calibri" w:hAnsi="Calibri" w:cs="Calibri"/>
          <w:lang w:val="en-GB"/>
        </w:rPr>
        <w:t xml:space="preserve"> </w:t>
      </w:r>
    </w:p>
    <w:p w14:paraId="58B7E537" w14:textId="46707848" w:rsidR="2FC7AE0F" w:rsidRDefault="2FC7AE0F" w:rsidP="21CEFACA">
      <w:pPr>
        <w:pStyle w:val="ListParagraph"/>
        <w:numPr>
          <w:ilvl w:val="0"/>
          <w:numId w:val="5"/>
        </w:numPr>
        <w:spacing w:after="0" w:line="240" w:lineRule="auto"/>
        <w:rPr>
          <w:rFonts w:eastAsiaTheme="minorEastAsia"/>
          <w:lang w:val="en-IE"/>
        </w:rPr>
      </w:pPr>
      <w:r w:rsidRPr="21CEFACA">
        <w:rPr>
          <w:rFonts w:ascii="Calibri" w:eastAsia="Calibri" w:hAnsi="Calibri" w:cs="Calibri"/>
          <w:lang w:val="en-GB"/>
        </w:rPr>
        <w:t xml:space="preserve">Announcement of outcome - </w:t>
      </w:r>
      <w:r w:rsidR="7A68E697" w:rsidRPr="21CEFACA">
        <w:rPr>
          <w:rFonts w:ascii="Calibri" w:eastAsia="Calibri" w:hAnsi="Calibri" w:cs="Calibri"/>
          <w:b/>
          <w:bCs/>
          <w:lang w:val="en-GB"/>
        </w:rPr>
        <w:t>June</w:t>
      </w:r>
      <w:r w:rsidRPr="21CEFACA">
        <w:rPr>
          <w:rFonts w:ascii="Calibri" w:eastAsia="Calibri" w:hAnsi="Calibri" w:cs="Calibri"/>
          <w:b/>
          <w:bCs/>
          <w:lang w:val="en-GB"/>
        </w:rPr>
        <w:t xml:space="preserve"> 20</w:t>
      </w:r>
      <w:r w:rsidR="15005052" w:rsidRPr="21CEFACA">
        <w:rPr>
          <w:rFonts w:ascii="Calibri" w:eastAsia="Calibri" w:hAnsi="Calibri" w:cs="Calibri"/>
          <w:b/>
          <w:bCs/>
          <w:lang w:val="en-GB"/>
        </w:rPr>
        <w:t>20</w:t>
      </w:r>
    </w:p>
    <w:p w14:paraId="2C1885E8" w14:textId="472A08A8" w:rsidR="574DD3A2" w:rsidRDefault="574DD3A2" w:rsidP="21CEFACA">
      <w:pPr>
        <w:rPr>
          <w:lang w:val="en-GB"/>
        </w:rPr>
      </w:pPr>
    </w:p>
    <w:p w14:paraId="76F86EB7" w14:textId="2DD38F17" w:rsidR="15005052" w:rsidRDefault="15005052" w:rsidP="21CEFACA">
      <w:pPr>
        <w:rPr>
          <w:b/>
          <w:bCs/>
          <w:lang w:val="en-GB"/>
        </w:rPr>
      </w:pPr>
      <w:r w:rsidRPr="21CEFACA">
        <w:rPr>
          <w:b/>
          <w:bCs/>
          <w:lang w:val="en-GB"/>
        </w:rPr>
        <w:t>Background</w:t>
      </w:r>
    </w:p>
    <w:p w14:paraId="799AEDA8" w14:textId="45BABC49" w:rsidR="1214F627" w:rsidRDefault="1214F627" w:rsidP="21CEFACA">
      <w:pPr>
        <w:spacing w:line="240" w:lineRule="auto"/>
        <w:rPr>
          <w:rFonts w:ascii="Calibri" w:eastAsia="Calibri" w:hAnsi="Calibri" w:cs="Calibri"/>
          <w:lang w:val="en-GB"/>
        </w:rPr>
      </w:pPr>
      <w:r w:rsidRPr="21CEFACA">
        <w:rPr>
          <w:rFonts w:ascii="Calibri" w:eastAsia="Calibri" w:hAnsi="Calibri" w:cs="Calibri"/>
          <w:lang w:val="en-GB"/>
        </w:rPr>
        <w:t xml:space="preserve">Diversity is a key strength of Irish higher education. In recent decades our universities, institutes of technology, and colleges have been transformed, from predominantly national institutions catering primarily for school-leavers, to internationally oriented institutions engaged with an increasingly diverse student body, of all ages, backgrounds and gender identities. </w:t>
      </w:r>
    </w:p>
    <w:p w14:paraId="29173FB7" w14:textId="6351CD42" w:rsidR="1214F627" w:rsidRDefault="1214F627" w:rsidP="21CEFACA">
      <w:pPr>
        <w:spacing w:line="240" w:lineRule="auto"/>
        <w:rPr>
          <w:rFonts w:ascii="Calibri" w:eastAsia="Calibri" w:hAnsi="Calibri" w:cs="Calibri"/>
          <w:lang w:val="en-GB"/>
        </w:rPr>
      </w:pPr>
      <w:r w:rsidRPr="21CEFACA">
        <w:rPr>
          <w:rFonts w:ascii="Calibri" w:eastAsia="Calibri" w:hAnsi="Calibri" w:cs="Calibri"/>
          <w:lang w:val="en-GB"/>
        </w:rPr>
        <w:t xml:space="preserve">Higher education legislation requires institutions to promote gender-balance among students and staff, and for the Higher Education Authority (HEA) to promote the attainment of equality of opportunity.  </w:t>
      </w:r>
    </w:p>
    <w:p w14:paraId="6174B19B" w14:textId="22DAA3C3" w:rsidR="1214F627" w:rsidRDefault="1214F627" w:rsidP="21CEFACA">
      <w:pPr>
        <w:spacing w:line="240" w:lineRule="auto"/>
        <w:rPr>
          <w:rFonts w:ascii="Calibri" w:eastAsia="Calibri" w:hAnsi="Calibri" w:cs="Calibri"/>
          <w:lang w:val="en-GB"/>
        </w:rPr>
      </w:pPr>
      <w:r w:rsidRPr="21CEFACA">
        <w:rPr>
          <w:rFonts w:ascii="Calibri" w:eastAsia="Calibri" w:hAnsi="Calibri" w:cs="Calibri"/>
          <w:lang w:val="en-GB"/>
        </w:rPr>
        <w:t>The</w:t>
      </w:r>
      <w:r w:rsidRPr="21CEFACA">
        <w:rPr>
          <w:rFonts w:ascii="Calibri" w:eastAsia="Calibri" w:hAnsi="Calibri" w:cs="Calibri"/>
          <w:i/>
          <w:iCs/>
          <w:lang w:val="en-GB"/>
        </w:rPr>
        <w:t xml:space="preserve"> </w:t>
      </w:r>
      <w:hyperlink r:id="rId7">
        <w:r w:rsidRPr="21CEFACA">
          <w:rPr>
            <w:rStyle w:val="Hyperlink"/>
            <w:rFonts w:ascii="Calibri" w:eastAsia="Calibri" w:hAnsi="Calibri" w:cs="Calibri"/>
            <w:i/>
            <w:iCs/>
            <w:color w:val="0563C1"/>
            <w:lang w:val="en-GB"/>
          </w:rPr>
          <w:t>HEA National Review of Gender Equality in Irish Higher Education Institutions</w:t>
        </w:r>
        <w:r w:rsidRPr="21CEFACA">
          <w:rPr>
            <w:rStyle w:val="Hyperlink"/>
            <w:rFonts w:ascii="Calibri" w:eastAsia="Calibri" w:hAnsi="Calibri" w:cs="Calibri"/>
            <w:color w:val="0563C1"/>
            <w:lang w:val="en-GB"/>
          </w:rPr>
          <w:t xml:space="preserve"> (2016)</w:t>
        </w:r>
      </w:hyperlink>
      <w:r w:rsidRPr="21CEFACA">
        <w:rPr>
          <w:rFonts w:ascii="Calibri" w:eastAsia="Calibri" w:hAnsi="Calibri" w:cs="Calibri"/>
          <w:lang w:val="en-GB"/>
        </w:rPr>
        <w:t xml:space="preserve"> was an important first step in highlighting the gender inequality that existed at senior academic levels in our HEIs. The HEA Expert Group report outlined a number of recommendations for the HEIs, HEA, research funding agencies and other key stakeholders. However, despite the publication of the HEA Expert Group report, progress remained slow.  </w:t>
      </w:r>
    </w:p>
    <w:p w14:paraId="5B37D9CD" w14:textId="13F0B3D5" w:rsidR="2C84F757" w:rsidRDefault="2C84F757" w:rsidP="21CEFACA">
      <w:pPr>
        <w:spacing w:line="240" w:lineRule="auto"/>
        <w:rPr>
          <w:rFonts w:ascii="Calibri" w:eastAsia="Calibri" w:hAnsi="Calibri" w:cs="Calibri"/>
          <w:lang w:val="en-GB"/>
        </w:rPr>
      </w:pPr>
      <w:r w:rsidRPr="21CEFACA">
        <w:rPr>
          <w:rFonts w:ascii="Calibri" w:eastAsia="Calibri" w:hAnsi="Calibri" w:cs="Calibri"/>
          <w:lang w:val="en-GB"/>
        </w:rPr>
        <w:t>I</w:t>
      </w:r>
      <w:r w:rsidR="3E7288EE" w:rsidRPr="21CEFACA">
        <w:rPr>
          <w:rFonts w:ascii="Calibri" w:eastAsia="Calibri" w:hAnsi="Calibri" w:cs="Calibri"/>
          <w:lang w:val="en-GB"/>
        </w:rPr>
        <w:t>n 2017, t</w:t>
      </w:r>
      <w:r w:rsidR="15005052" w:rsidRPr="21CEFACA">
        <w:rPr>
          <w:rFonts w:ascii="Calibri" w:eastAsia="Calibri" w:hAnsi="Calibri" w:cs="Calibri"/>
          <w:lang w:val="en-GB"/>
        </w:rPr>
        <w:t xml:space="preserve">he Minister </w:t>
      </w:r>
      <w:r w:rsidR="0BAE136C" w:rsidRPr="21CEFACA">
        <w:rPr>
          <w:rFonts w:ascii="Calibri" w:eastAsia="Calibri" w:hAnsi="Calibri" w:cs="Calibri"/>
          <w:lang w:val="en-GB"/>
        </w:rPr>
        <w:t xml:space="preserve">of State </w:t>
      </w:r>
      <w:r w:rsidR="15005052" w:rsidRPr="21CEFACA">
        <w:rPr>
          <w:rFonts w:ascii="Calibri" w:eastAsia="Calibri" w:hAnsi="Calibri" w:cs="Calibri"/>
          <w:lang w:val="en-GB"/>
        </w:rPr>
        <w:t>for Higher Education established the Gender Equality Taskforce to identify significant measures, drawing on the work of the HEA Expert Group</w:t>
      </w:r>
      <w:r w:rsidR="7D495947" w:rsidRPr="21CEFACA">
        <w:rPr>
          <w:rFonts w:ascii="Calibri" w:eastAsia="Calibri" w:hAnsi="Calibri" w:cs="Calibri"/>
          <w:lang w:val="en-GB"/>
        </w:rPr>
        <w:t xml:space="preserve"> Report published in 2016</w:t>
      </w:r>
      <w:r w:rsidR="15005052" w:rsidRPr="21CEFACA">
        <w:rPr>
          <w:rFonts w:ascii="Calibri" w:eastAsia="Calibri" w:hAnsi="Calibri" w:cs="Calibri"/>
          <w:lang w:val="en-GB"/>
        </w:rPr>
        <w:t xml:space="preserve">, that could accelerate progress in achieving gender equality in the Irish HEIs.  Their </w:t>
      </w:r>
      <w:hyperlink r:id="rId8">
        <w:r w:rsidR="15005052" w:rsidRPr="21CEFACA">
          <w:rPr>
            <w:rStyle w:val="Hyperlink"/>
            <w:rFonts w:ascii="Calibri" w:eastAsia="Calibri" w:hAnsi="Calibri" w:cs="Calibri"/>
            <w:lang w:val="en-GB"/>
          </w:rPr>
          <w:t>Action Plan</w:t>
        </w:r>
      </w:hyperlink>
      <w:r w:rsidR="15005052" w:rsidRPr="21CEFACA">
        <w:rPr>
          <w:rFonts w:ascii="Calibri" w:eastAsia="Calibri" w:hAnsi="Calibri" w:cs="Calibri"/>
          <w:lang w:val="en-GB"/>
        </w:rPr>
        <w:t xml:space="preserve">, which was launched on November 2018, encompasses a suite of initiatives to bring about sustainable organisational change and to empower a culture of gender equality in the HEIs for all staff, academic and professional, as well as management and support staff at all levels. </w:t>
      </w:r>
    </w:p>
    <w:p w14:paraId="2A2D7AB2" w14:textId="14A9F42D" w:rsidR="15005052" w:rsidRDefault="15005052" w:rsidP="21CEFACA">
      <w:pPr>
        <w:spacing w:line="240" w:lineRule="auto"/>
        <w:rPr>
          <w:rFonts w:ascii="Calibri" w:eastAsia="Calibri" w:hAnsi="Calibri" w:cs="Calibri"/>
          <w:lang w:val="en-GB"/>
        </w:rPr>
      </w:pPr>
      <w:r w:rsidRPr="21CEFACA">
        <w:rPr>
          <w:rFonts w:ascii="Calibri" w:eastAsia="Calibri" w:hAnsi="Calibri" w:cs="Calibri"/>
          <w:lang w:val="en-GB"/>
        </w:rPr>
        <w:t>The Gender Equality Taskforce recognised that</w:t>
      </w:r>
      <w:r w:rsidR="00E877D7" w:rsidRPr="21CEFACA">
        <w:rPr>
          <w:rFonts w:ascii="Calibri" w:eastAsia="Calibri" w:hAnsi="Calibri" w:cs="Calibri"/>
          <w:lang w:val="en-GB"/>
        </w:rPr>
        <w:t>,</w:t>
      </w:r>
      <w:r w:rsidRPr="21CEFACA">
        <w:rPr>
          <w:rFonts w:ascii="Calibri" w:eastAsia="Calibri" w:hAnsi="Calibri" w:cs="Calibri"/>
          <w:lang w:val="en-GB"/>
        </w:rPr>
        <w:t xml:space="preserve"> in addition to the organisational and culture change initiatives</w:t>
      </w:r>
      <w:r w:rsidR="00E877D7" w:rsidRPr="21CEFACA">
        <w:rPr>
          <w:rFonts w:ascii="Calibri" w:eastAsia="Calibri" w:hAnsi="Calibri" w:cs="Calibri"/>
          <w:lang w:val="en-GB"/>
        </w:rPr>
        <w:t>,</w:t>
      </w:r>
      <w:r w:rsidRPr="21CEFACA">
        <w:rPr>
          <w:rFonts w:ascii="Calibri" w:eastAsia="Calibri" w:hAnsi="Calibri" w:cs="Calibri"/>
          <w:lang w:val="en-GB"/>
        </w:rPr>
        <w:t xml:space="preserve"> </w:t>
      </w:r>
      <w:r w:rsidR="52E348F1" w:rsidRPr="21CEFACA">
        <w:rPr>
          <w:rFonts w:ascii="Calibri" w:eastAsia="Calibri" w:hAnsi="Calibri" w:cs="Calibri"/>
          <w:lang w:val="en-GB"/>
        </w:rPr>
        <w:t>the incentivisation of progress on gender equality targets through funding mechanisms</w:t>
      </w:r>
      <w:r w:rsidR="00E877D7" w:rsidRPr="21CEFACA">
        <w:rPr>
          <w:rFonts w:ascii="Calibri" w:eastAsia="Calibri" w:hAnsi="Calibri" w:cs="Calibri"/>
          <w:lang w:val="en-GB"/>
        </w:rPr>
        <w:t xml:space="preserve"> was needed</w:t>
      </w:r>
      <w:r w:rsidR="23766470" w:rsidRPr="21CEFACA">
        <w:rPr>
          <w:rFonts w:ascii="Calibri" w:eastAsia="Calibri" w:hAnsi="Calibri" w:cs="Calibri"/>
          <w:lang w:val="en-GB"/>
        </w:rPr>
        <w:t>. Specifically, the Taskforce recommended the following actions:</w:t>
      </w:r>
    </w:p>
    <w:p w14:paraId="0A0590E5" w14:textId="5E9D84D2" w:rsidR="79A806AD" w:rsidRDefault="79A806AD" w:rsidP="21CEFACA">
      <w:pPr>
        <w:pStyle w:val="ListParagraph"/>
        <w:numPr>
          <w:ilvl w:val="0"/>
          <w:numId w:val="3"/>
        </w:numPr>
        <w:spacing w:line="240" w:lineRule="auto"/>
        <w:rPr>
          <w:rFonts w:eastAsiaTheme="minorEastAsia"/>
        </w:rPr>
      </w:pPr>
      <w:r w:rsidRPr="21CEFACA">
        <w:rPr>
          <w:rFonts w:ascii="Calibri" w:eastAsia="Calibri" w:hAnsi="Calibri" w:cs="Calibri"/>
          <w:lang w:val="en-GB"/>
        </w:rPr>
        <w:t xml:space="preserve">HEA block grant funding shall be linked to an institution’s performance in addressing gender inequality through the Strategic Dialogue process and System Performance Framework. </w:t>
      </w:r>
    </w:p>
    <w:p w14:paraId="352D0B89" w14:textId="3C623EB6" w:rsidR="79A806AD" w:rsidRDefault="79A806AD" w:rsidP="21CEFACA">
      <w:pPr>
        <w:pStyle w:val="ListParagraph"/>
        <w:numPr>
          <w:ilvl w:val="0"/>
          <w:numId w:val="3"/>
        </w:numPr>
        <w:spacing w:line="240" w:lineRule="auto"/>
        <w:rPr>
          <w:rFonts w:eastAsiaTheme="minorEastAsia"/>
        </w:rPr>
      </w:pPr>
      <w:r w:rsidRPr="21CEFACA">
        <w:rPr>
          <w:rFonts w:ascii="Calibri" w:eastAsia="Calibri" w:hAnsi="Calibri" w:cs="Calibri"/>
          <w:lang w:val="en-GB"/>
        </w:rPr>
        <w:t>A new ‘Gender Equality Enhancement Funding Call’ should be set up to support innovative organisational and cultural change initiatives nationally.</w:t>
      </w:r>
    </w:p>
    <w:p w14:paraId="54C40A06" w14:textId="7571F0BE" w:rsidR="574DD3A2" w:rsidRDefault="574DD3A2" w:rsidP="21CEFACA">
      <w:pPr>
        <w:spacing w:line="240" w:lineRule="auto"/>
        <w:rPr>
          <w:rFonts w:ascii="Calibri" w:eastAsia="Calibri" w:hAnsi="Calibri" w:cs="Calibri"/>
          <w:lang w:val="en-GB"/>
        </w:rPr>
      </w:pPr>
    </w:p>
    <w:p w14:paraId="765EF989" w14:textId="440334BD" w:rsidR="64DA1520" w:rsidRDefault="64DA1520" w:rsidP="21CEFACA">
      <w:pPr>
        <w:spacing w:line="240" w:lineRule="auto"/>
        <w:rPr>
          <w:rFonts w:ascii="Calibri" w:eastAsia="Calibri" w:hAnsi="Calibri" w:cs="Calibri"/>
          <w:b/>
          <w:bCs/>
          <w:lang w:val="en-GB"/>
        </w:rPr>
      </w:pPr>
      <w:r w:rsidRPr="21CEFACA">
        <w:rPr>
          <w:rFonts w:ascii="Calibri" w:eastAsia="Calibri" w:hAnsi="Calibri" w:cs="Calibri"/>
          <w:b/>
          <w:bCs/>
          <w:lang w:val="en-GB"/>
        </w:rPr>
        <w:t>Objective of the Call</w:t>
      </w:r>
    </w:p>
    <w:p w14:paraId="07B88418" w14:textId="6E51C2A3" w:rsidR="62711E05" w:rsidRDefault="62711E05" w:rsidP="21CEFACA">
      <w:pPr>
        <w:spacing w:line="240" w:lineRule="auto"/>
        <w:rPr>
          <w:rFonts w:ascii="Calibri" w:eastAsia="Calibri" w:hAnsi="Calibri" w:cs="Calibri"/>
          <w:lang w:val="en-GB"/>
        </w:rPr>
      </w:pPr>
      <w:r w:rsidRPr="21CEFACA">
        <w:rPr>
          <w:rFonts w:ascii="Calibri" w:eastAsia="Calibri" w:hAnsi="Calibri" w:cs="Calibri"/>
          <w:lang w:val="en-GB"/>
        </w:rPr>
        <w:t xml:space="preserve">The </w:t>
      </w:r>
      <w:r w:rsidR="0F32A9DE" w:rsidRPr="21CEFACA">
        <w:rPr>
          <w:rFonts w:ascii="Calibri" w:eastAsia="Calibri" w:hAnsi="Calibri" w:cs="Calibri"/>
          <w:lang w:val="en-GB"/>
        </w:rPr>
        <w:t>primary objective</w:t>
      </w:r>
      <w:r w:rsidR="0BBD32EC" w:rsidRPr="21CEFACA">
        <w:rPr>
          <w:rFonts w:ascii="Calibri" w:eastAsia="Calibri" w:hAnsi="Calibri" w:cs="Calibri"/>
          <w:lang w:val="en-GB"/>
        </w:rPr>
        <w:t>s</w:t>
      </w:r>
      <w:r w:rsidR="0F32A9DE" w:rsidRPr="21CEFACA">
        <w:rPr>
          <w:rFonts w:ascii="Calibri" w:eastAsia="Calibri" w:hAnsi="Calibri" w:cs="Calibri"/>
          <w:lang w:val="en-GB"/>
        </w:rPr>
        <w:t xml:space="preserve"> of the </w:t>
      </w:r>
      <w:r w:rsidRPr="21CEFACA">
        <w:rPr>
          <w:rFonts w:ascii="Calibri" w:eastAsia="Calibri" w:hAnsi="Calibri" w:cs="Calibri"/>
          <w:lang w:val="en-GB"/>
        </w:rPr>
        <w:t xml:space="preserve">Gender Equality Enhancement Fund </w:t>
      </w:r>
      <w:r w:rsidR="398C3FA5" w:rsidRPr="21CEFACA">
        <w:rPr>
          <w:rFonts w:ascii="Calibri" w:eastAsia="Calibri" w:hAnsi="Calibri" w:cs="Calibri"/>
          <w:lang w:val="en-GB"/>
        </w:rPr>
        <w:t>are:</w:t>
      </w:r>
    </w:p>
    <w:p w14:paraId="4B4356F6" w14:textId="75101415" w:rsidR="352E7188" w:rsidRDefault="352E7188" w:rsidP="21CEFACA">
      <w:pPr>
        <w:pStyle w:val="ListParagraph"/>
        <w:numPr>
          <w:ilvl w:val="0"/>
          <w:numId w:val="2"/>
        </w:numPr>
        <w:spacing w:line="240" w:lineRule="auto"/>
        <w:rPr>
          <w:rFonts w:eastAsiaTheme="minorEastAsia"/>
          <w:lang w:val="en-IE"/>
        </w:rPr>
      </w:pPr>
      <w:r w:rsidRPr="21CEFACA">
        <w:rPr>
          <w:rFonts w:ascii="Calibri" w:eastAsia="Calibri" w:hAnsi="Calibri" w:cs="Calibri"/>
          <w:lang w:val="en-GB"/>
        </w:rPr>
        <w:t>t</w:t>
      </w:r>
      <w:r w:rsidR="62711E05" w:rsidRPr="21CEFACA">
        <w:rPr>
          <w:rFonts w:ascii="Calibri" w:eastAsia="Calibri" w:hAnsi="Calibri" w:cs="Calibri"/>
          <w:lang w:val="en-GB"/>
        </w:rPr>
        <w:t xml:space="preserve">o encourage innovative approaches to addressing gender inequality across </w:t>
      </w:r>
      <w:r w:rsidR="54F1F4DB" w:rsidRPr="21CEFACA">
        <w:rPr>
          <w:rFonts w:ascii="Calibri" w:eastAsia="Calibri" w:hAnsi="Calibri" w:cs="Calibri"/>
          <w:lang w:val="en-GB"/>
        </w:rPr>
        <w:t>HEIs</w:t>
      </w:r>
      <w:r w:rsidR="10D8EA31" w:rsidRPr="21CEFACA">
        <w:rPr>
          <w:rFonts w:ascii="Calibri" w:eastAsia="Calibri" w:hAnsi="Calibri" w:cs="Calibri"/>
          <w:lang w:val="en-GB"/>
        </w:rPr>
        <w:t>;</w:t>
      </w:r>
    </w:p>
    <w:p w14:paraId="14C7F621" w14:textId="30E9355A" w:rsidR="352E7188" w:rsidRDefault="352E7188" w:rsidP="21CEFACA">
      <w:pPr>
        <w:pStyle w:val="ListParagraph"/>
        <w:numPr>
          <w:ilvl w:val="0"/>
          <w:numId w:val="2"/>
        </w:numPr>
        <w:spacing w:line="240" w:lineRule="auto"/>
        <w:rPr>
          <w:rFonts w:eastAsiaTheme="minorEastAsia"/>
        </w:rPr>
      </w:pPr>
      <w:r w:rsidRPr="21CEFACA">
        <w:rPr>
          <w:rFonts w:ascii="Calibri" w:eastAsia="Calibri" w:hAnsi="Calibri" w:cs="Calibri"/>
          <w:lang w:val="en-GB"/>
        </w:rPr>
        <w:t>t</w:t>
      </w:r>
      <w:r w:rsidR="62711E05" w:rsidRPr="21CEFACA">
        <w:rPr>
          <w:rFonts w:ascii="Calibri" w:eastAsia="Calibri" w:hAnsi="Calibri" w:cs="Calibri"/>
          <w:lang w:val="en-GB"/>
        </w:rPr>
        <w:t xml:space="preserve">o facilitate gender equality initiatives </w:t>
      </w:r>
      <w:r w:rsidR="0B680CD1" w:rsidRPr="21CEFACA">
        <w:rPr>
          <w:rFonts w:ascii="Calibri" w:eastAsia="Calibri" w:hAnsi="Calibri" w:cs="Calibri"/>
          <w:lang w:val="en-GB"/>
        </w:rPr>
        <w:t>that respond to</w:t>
      </w:r>
      <w:r w:rsidR="0B680CD1" w:rsidRPr="21CEFACA">
        <w:rPr>
          <w:lang w:val="en-GB"/>
        </w:rPr>
        <w:t xml:space="preserve"> </w:t>
      </w:r>
      <w:r w:rsidR="7BD25ED2" w:rsidRPr="21CEFACA">
        <w:rPr>
          <w:lang w:val="en-GB"/>
        </w:rPr>
        <w:t xml:space="preserve">the </w:t>
      </w:r>
      <w:r w:rsidR="0B680CD1" w:rsidRPr="21CEFACA">
        <w:rPr>
          <w:lang w:val="en-GB"/>
        </w:rPr>
        <w:t xml:space="preserve">recommendations of </w:t>
      </w:r>
      <w:r w:rsidR="6D3AB658" w:rsidRPr="21CEFACA">
        <w:rPr>
          <w:lang w:val="en-GB"/>
        </w:rPr>
        <w:t xml:space="preserve">the </w:t>
      </w:r>
      <w:r w:rsidR="0B680CD1" w:rsidRPr="21CEFACA">
        <w:rPr>
          <w:lang w:val="en-GB"/>
        </w:rPr>
        <w:t>HEA Expert Group and/or Gender Equality Taskforce’s recommended actions</w:t>
      </w:r>
      <w:r w:rsidR="1465F8D7" w:rsidRPr="21CEFACA">
        <w:rPr>
          <w:rFonts w:ascii="Calibri" w:eastAsia="Calibri" w:hAnsi="Calibri" w:cs="Calibri"/>
          <w:lang w:val="en-GB"/>
        </w:rPr>
        <w:t>;</w:t>
      </w:r>
    </w:p>
    <w:p w14:paraId="79F9CC97" w14:textId="7F32F6C3" w:rsidR="2ACA0F47" w:rsidRDefault="2ACA0F47" w:rsidP="21CEFACA">
      <w:pPr>
        <w:pStyle w:val="ListParagraph"/>
        <w:numPr>
          <w:ilvl w:val="0"/>
          <w:numId w:val="2"/>
        </w:numPr>
        <w:spacing w:line="240" w:lineRule="auto"/>
        <w:rPr>
          <w:rFonts w:eastAsiaTheme="minorEastAsia"/>
        </w:rPr>
      </w:pPr>
      <w:proofErr w:type="gramStart"/>
      <w:r w:rsidRPr="21CEFACA">
        <w:rPr>
          <w:rFonts w:ascii="Calibri" w:eastAsia="Calibri" w:hAnsi="Calibri" w:cs="Calibri"/>
          <w:lang w:val="en-GB"/>
        </w:rPr>
        <w:t>t</w:t>
      </w:r>
      <w:r w:rsidR="62711E05" w:rsidRPr="21CEFACA">
        <w:rPr>
          <w:rFonts w:ascii="Calibri" w:eastAsia="Calibri" w:hAnsi="Calibri" w:cs="Calibri"/>
          <w:lang w:val="en-GB"/>
        </w:rPr>
        <w:t>o</w:t>
      </w:r>
      <w:proofErr w:type="gramEnd"/>
      <w:r w:rsidR="62711E05" w:rsidRPr="21CEFACA">
        <w:rPr>
          <w:rFonts w:ascii="Calibri" w:eastAsia="Calibri" w:hAnsi="Calibri" w:cs="Calibri"/>
          <w:lang w:val="en-GB"/>
        </w:rPr>
        <w:t xml:space="preserve"> encourage cross-sectoral collaboration as a means to achieve national transformation.</w:t>
      </w:r>
    </w:p>
    <w:p w14:paraId="1D0AD2C9" w14:textId="7DE3F0FE" w:rsidR="5CDA8C97" w:rsidRDefault="2410A421" w:rsidP="21CEFACA">
      <w:pPr>
        <w:spacing w:line="240" w:lineRule="auto"/>
        <w:rPr>
          <w:rFonts w:ascii="Calibri" w:eastAsia="Calibri" w:hAnsi="Calibri" w:cs="Calibri"/>
          <w:lang w:val="en-GB"/>
        </w:rPr>
      </w:pPr>
      <w:r w:rsidRPr="21CEFACA">
        <w:rPr>
          <w:rFonts w:ascii="Calibri" w:eastAsia="Calibri" w:hAnsi="Calibri" w:cs="Calibri"/>
          <w:lang w:val="en-GB"/>
        </w:rPr>
        <w:t xml:space="preserve">Applications that address the gender equality implications of the coronavirus (COVID-19) pandemic may be given priority. </w:t>
      </w:r>
      <w:r w:rsidR="5CDA8C97" w:rsidRPr="21CEFACA">
        <w:rPr>
          <w:rFonts w:ascii="Calibri" w:eastAsia="Calibri" w:hAnsi="Calibri" w:cs="Calibri"/>
          <w:lang w:val="en-GB"/>
        </w:rPr>
        <w:t>Applications for funding under the Gender Equality Enhancement Fund can be made in the following areas:</w:t>
      </w:r>
    </w:p>
    <w:p w14:paraId="5773C9AF" w14:textId="32892CB0" w:rsidR="5CDA8C97" w:rsidRDefault="5CDA8C97" w:rsidP="21CEFACA">
      <w:pPr>
        <w:spacing w:line="240" w:lineRule="auto"/>
        <w:rPr>
          <w:rFonts w:ascii="Calibri" w:eastAsia="Calibri" w:hAnsi="Calibri" w:cs="Calibri"/>
          <w:lang w:val="en-GB"/>
        </w:rPr>
      </w:pPr>
      <w:r w:rsidRPr="21CEFACA">
        <w:rPr>
          <w:rFonts w:ascii="Calibri" w:eastAsia="Calibri" w:hAnsi="Calibri" w:cs="Calibri"/>
          <w:lang w:val="en-GB"/>
        </w:rPr>
        <w:t xml:space="preserve">1. Research </w:t>
      </w:r>
      <w:r w:rsidR="5991F1F4" w:rsidRPr="21CEFACA">
        <w:rPr>
          <w:rFonts w:ascii="Calibri" w:eastAsia="Calibri" w:hAnsi="Calibri" w:cs="Calibri"/>
          <w:lang w:val="en-GB"/>
        </w:rPr>
        <w:t>on or advancing</w:t>
      </w:r>
      <w:r w:rsidRPr="21CEFACA">
        <w:rPr>
          <w:rFonts w:ascii="Calibri" w:eastAsia="Calibri" w:hAnsi="Calibri" w:cs="Calibri"/>
          <w:lang w:val="en-GB"/>
        </w:rPr>
        <w:t xml:space="preserve"> </w:t>
      </w:r>
      <w:r w:rsidR="6F79CAFB" w:rsidRPr="21CEFACA">
        <w:rPr>
          <w:rFonts w:ascii="Calibri" w:eastAsia="Calibri" w:hAnsi="Calibri" w:cs="Calibri"/>
          <w:lang w:val="en-GB"/>
        </w:rPr>
        <w:t>g</w:t>
      </w:r>
      <w:r w:rsidRPr="21CEFACA">
        <w:rPr>
          <w:rFonts w:ascii="Calibri" w:eastAsia="Calibri" w:hAnsi="Calibri" w:cs="Calibri"/>
          <w:lang w:val="en-GB"/>
        </w:rPr>
        <w:t xml:space="preserve">ender </w:t>
      </w:r>
      <w:r w:rsidR="1FDE7D69" w:rsidRPr="21CEFACA">
        <w:rPr>
          <w:rFonts w:ascii="Calibri" w:eastAsia="Calibri" w:hAnsi="Calibri" w:cs="Calibri"/>
          <w:lang w:val="en-GB"/>
        </w:rPr>
        <w:t>e</w:t>
      </w:r>
      <w:r w:rsidRPr="21CEFACA">
        <w:rPr>
          <w:rFonts w:ascii="Calibri" w:eastAsia="Calibri" w:hAnsi="Calibri" w:cs="Calibri"/>
          <w:lang w:val="en-GB"/>
        </w:rPr>
        <w:t xml:space="preserve">quality </w:t>
      </w:r>
      <w:r w:rsidR="5E7896EF" w:rsidRPr="21CEFACA">
        <w:rPr>
          <w:rFonts w:ascii="Calibri" w:eastAsia="Calibri" w:hAnsi="Calibri" w:cs="Calibri"/>
          <w:lang w:val="en-GB"/>
        </w:rPr>
        <w:t>i</w:t>
      </w:r>
      <w:r w:rsidRPr="21CEFACA">
        <w:rPr>
          <w:rFonts w:ascii="Calibri" w:eastAsia="Calibri" w:hAnsi="Calibri" w:cs="Calibri"/>
          <w:lang w:val="en-GB"/>
        </w:rPr>
        <w:t>nitiatives in Ireland (</w:t>
      </w:r>
      <w:r w:rsidR="421717BF" w:rsidRPr="21CEFACA">
        <w:rPr>
          <w:rFonts w:ascii="Calibri" w:eastAsia="Calibri" w:hAnsi="Calibri" w:cs="Calibri"/>
          <w:lang w:val="en-GB"/>
        </w:rPr>
        <w:t>€100,000)</w:t>
      </w:r>
    </w:p>
    <w:p w14:paraId="48E35A0E" w14:textId="5D485464" w:rsidR="5CDA8C97" w:rsidRDefault="5CDA8C97" w:rsidP="21CEFACA">
      <w:pPr>
        <w:spacing w:line="240" w:lineRule="auto"/>
        <w:rPr>
          <w:rFonts w:ascii="Calibri" w:eastAsia="Calibri" w:hAnsi="Calibri" w:cs="Calibri"/>
          <w:lang w:val="en-GB"/>
        </w:rPr>
      </w:pPr>
      <w:r w:rsidRPr="21CEFACA">
        <w:rPr>
          <w:rFonts w:ascii="Calibri" w:eastAsia="Calibri" w:hAnsi="Calibri" w:cs="Calibri"/>
          <w:lang w:val="en-GB"/>
        </w:rPr>
        <w:t>2. Training programmes specifically addressing gender equality</w:t>
      </w:r>
      <w:r w:rsidR="657276B1" w:rsidRPr="21CEFACA">
        <w:rPr>
          <w:rFonts w:ascii="Calibri" w:eastAsia="Calibri" w:hAnsi="Calibri" w:cs="Calibri"/>
          <w:lang w:val="en-GB"/>
        </w:rPr>
        <w:t xml:space="preserve"> (€100,000)</w:t>
      </w:r>
    </w:p>
    <w:p w14:paraId="23100C34" w14:textId="077921D4" w:rsidR="5CDA8C97" w:rsidRDefault="5CDA8C97" w:rsidP="21CEFACA">
      <w:pPr>
        <w:spacing w:line="240" w:lineRule="auto"/>
        <w:rPr>
          <w:rFonts w:ascii="Calibri" w:eastAsia="Calibri" w:hAnsi="Calibri" w:cs="Calibri"/>
          <w:lang w:val="en-GB"/>
        </w:rPr>
      </w:pPr>
      <w:r w:rsidRPr="21CEFACA">
        <w:rPr>
          <w:rFonts w:ascii="Calibri" w:eastAsia="Calibri" w:hAnsi="Calibri" w:cs="Calibri"/>
          <w:lang w:val="en-GB"/>
        </w:rPr>
        <w:t>3. Athena SWAN capacity-bui</w:t>
      </w:r>
      <w:r w:rsidR="0896E813" w:rsidRPr="21CEFACA">
        <w:rPr>
          <w:rFonts w:ascii="Calibri" w:eastAsia="Calibri" w:hAnsi="Calibri" w:cs="Calibri"/>
          <w:lang w:val="en-GB"/>
        </w:rPr>
        <w:t>l</w:t>
      </w:r>
      <w:r w:rsidRPr="21CEFACA">
        <w:rPr>
          <w:rFonts w:ascii="Calibri" w:eastAsia="Calibri" w:hAnsi="Calibri" w:cs="Calibri"/>
          <w:lang w:val="en-GB"/>
        </w:rPr>
        <w:t>ding activities</w:t>
      </w:r>
      <w:r w:rsidR="53050CCC" w:rsidRPr="21CEFACA">
        <w:rPr>
          <w:rFonts w:ascii="Calibri" w:eastAsia="Calibri" w:hAnsi="Calibri" w:cs="Calibri"/>
          <w:lang w:val="en-GB"/>
        </w:rPr>
        <w:t xml:space="preserve"> (€50,000)</w:t>
      </w:r>
    </w:p>
    <w:p w14:paraId="1776D471" w14:textId="1BA79B90" w:rsidR="574DD3A2" w:rsidRDefault="574DD3A2" w:rsidP="21CEFACA">
      <w:pPr>
        <w:spacing w:line="240" w:lineRule="auto"/>
        <w:rPr>
          <w:rFonts w:ascii="Calibri" w:eastAsia="Calibri" w:hAnsi="Calibri" w:cs="Calibri"/>
          <w:lang w:val="en-GB"/>
        </w:rPr>
      </w:pPr>
    </w:p>
    <w:p w14:paraId="091993C8" w14:textId="2963E958" w:rsidR="2CC0704E" w:rsidRDefault="2CC0704E" w:rsidP="21CEFACA">
      <w:pPr>
        <w:rPr>
          <w:b/>
          <w:bCs/>
          <w:lang w:val="en-GB"/>
        </w:rPr>
      </w:pPr>
      <w:r w:rsidRPr="21CEFACA">
        <w:rPr>
          <w:b/>
          <w:bCs/>
          <w:lang w:val="en-GB"/>
        </w:rPr>
        <w:t xml:space="preserve">HEI </w:t>
      </w:r>
      <w:r w:rsidR="40482C51" w:rsidRPr="21CEFACA">
        <w:rPr>
          <w:b/>
          <w:bCs/>
          <w:lang w:val="en-GB"/>
        </w:rPr>
        <w:t>E</w:t>
      </w:r>
      <w:r w:rsidRPr="21CEFACA">
        <w:rPr>
          <w:b/>
          <w:bCs/>
          <w:lang w:val="en-GB"/>
        </w:rPr>
        <w:t xml:space="preserve">ligibility </w:t>
      </w:r>
    </w:p>
    <w:p w14:paraId="79A2888D" w14:textId="383C3771" w:rsidR="2CC0704E" w:rsidRDefault="2CC0704E" w:rsidP="21CEFACA">
      <w:pPr>
        <w:spacing w:line="240" w:lineRule="auto"/>
        <w:rPr>
          <w:lang w:val="en-GB"/>
        </w:rPr>
      </w:pPr>
      <w:r w:rsidRPr="1F309B68">
        <w:rPr>
          <w:lang w:val="en-GB"/>
        </w:rPr>
        <w:t xml:space="preserve">1. Eligible higher education institutions under this Initiative are those in receipt of core funding from the HEA </w:t>
      </w:r>
      <w:r w:rsidR="79B8D895" w:rsidRPr="1F309B68">
        <w:rPr>
          <w:lang w:val="en-GB"/>
        </w:rPr>
        <w:t>(see</w:t>
      </w:r>
      <w:r w:rsidRPr="1F309B68">
        <w:rPr>
          <w:lang w:val="en-GB"/>
        </w:rPr>
        <w:t xml:space="preserve"> Appendix 1</w:t>
      </w:r>
      <w:r w:rsidR="1008E8E6" w:rsidRPr="1F309B68">
        <w:rPr>
          <w:lang w:val="en-GB"/>
        </w:rPr>
        <w:t>)</w:t>
      </w:r>
      <w:r w:rsidRPr="1F309B68">
        <w:rPr>
          <w:lang w:val="en-GB"/>
        </w:rPr>
        <w:t>.</w:t>
      </w:r>
    </w:p>
    <w:p w14:paraId="6CFC9A6A" w14:textId="02F20938" w:rsidR="72295D8B" w:rsidRDefault="41C36F8B" w:rsidP="21CEFACA">
      <w:pPr>
        <w:spacing w:line="240" w:lineRule="auto"/>
        <w:rPr>
          <w:lang w:val="en-GB"/>
        </w:rPr>
      </w:pPr>
      <w:r w:rsidRPr="1F309B68">
        <w:rPr>
          <w:lang w:val="en-GB"/>
        </w:rPr>
        <w:t>2</w:t>
      </w:r>
      <w:r w:rsidR="1A2373B2" w:rsidRPr="1F309B68">
        <w:rPr>
          <w:lang w:val="en-GB"/>
        </w:rPr>
        <w:t xml:space="preserve">. </w:t>
      </w:r>
      <w:r w:rsidR="226542A8" w:rsidRPr="1F309B68">
        <w:rPr>
          <w:lang w:val="en-GB"/>
        </w:rPr>
        <w:t>P</w:t>
      </w:r>
      <w:r w:rsidR="23A69A1D" w:rsidRPr="1F309B68">
        <w:rPr>
          <w:lang w:val="en-GB"/>
        </w:rPr>
        <w:t>roposals</w:t>
      </w:r>
      <w:r w:rsidR="2CB6C5DB" w:rsidRPr="1F309B68">
        <w:rPr>
          <w:lang w:val="en-GB"/>
        </w:rPr>
        <w:t xml:space="preserve"> must be collaborative and</w:t>
      </w:r>
      <w:r w:rsidR="23A69A1D" w:rsidRPr="1F309B68">
        <w:rPr>
          <w:lang w:val="en-GB"/>
        </w:rPr>
        <w:t xml:space="preserve"> </w:t>
      </w:r>
      <w:r w:rsidR="4E6ADDA4" w:rsidRPr="1F309B68">
        <w:rPr>
          <w:lang w:val="en-GB"/>
        </w:rPr>
        <w:t>involve at least</w:t>
      </w:r>
      <w:r w:rsidR="23A69A1D" w:rsidRPr="1F309B68">
        <w:rPr>
          <w:lang w:val="en-GB"/>
        </w:rPr>
        <w:t xml:space="preserve"> </w:t>
      </w:r>
      <w:r w:rsidR="3167F497" w:rsidRPr="1F309B68">
        <w:rPr>
          <w:b/>
          <w:bCs/>
          <w:u w:val="single"/>
          <w:lang w:val="en-GB"/>
        </w:rPr>
        <w:t>thre</w:t>
      </w:r>
      <w:r w:rsidR="23A69A1D" w:rsidRPr="1F309B68">
        <w:rPr>
          <w:b/>
          <w:bCs/>
          <w:u w:val="single"/>
          <w:lang w:val="en-GB"/>
        </w:rPr>
        <w:t>e</w:t>
      </w:r>
      <w:r w:rsidR="23A69A1D" w:rsidRPr="1F309B68">
        <w:rPr>
          <w:lang w:val="en-GB"/>
        </w:rPr>
        <w:t xml:space="preserve"> eligible higher education institution</w:t>
      </w:r>
      <w:r w:rsidR="3857663D" w:rsidRPr="1F309B68">
        <w:rPr>
          <w:lang w:val="en-GB"/>
        </w:rPr>
        <w:t>s</w:t>
      </w:r>
      <w:r w:rsidR="23A69A1D" w:rsidRPr="1F309B68">
        <w:rPr>
          <w:lang w:val="en-GB"/>
        </w:rPr>
        <w:t xml:space="preserve">. </w:t>
      </w:r>
    </w:p>
    <w:p w14:paraId="6A50DD23" w14:textId="2B851C79" w:rsidR="23A69A1D" w:rsidRDefault="31C4200F" w:rsidP="21CEFACA">
      <w:pPr>
        <w:spacing w:line="240" w:lineRule="auto"/>
        <w:rPr>
          <w:lang w:val="en-GB"/>
        </w:rPr>
      </w:pPr>
      <w:r w:rsidRPr="1F309B68">
        <w:rPr>
          <w:lang w:val="en-GB"/>
        </w:rPr>
        <w:t>3</w:t>
      </w:r>
      <w:r w:rsidR="23A69A1D" w:rsidRPr="1F309B68">
        <w:rPr>
          <w:lang w:val="en-GB"/>
        </w:rPr>
        <w:t>. All proposals must nominate a lead institution for administrative and financial purposes.</w:t>
      </w:r>
    </w:p>
    <w:p w14:paraId="1FEF6B88" w14:textId="19D365BD" w:rsidR="2762FE93" w:rsidRDefault="6A19001E" w:rsidP="1F309B68">
      <w:pPr>
        <w:spacing w:line="240" w:lineRule="auto"/>
        <w:rPr>
          <w:lang w:val="en-GB"/>
        </w:rPr>
      </w:pPr>
      <w:r w:rsidRPr="0EA4DF27">
        <w:rPr>
          <w:lang w:val="en-GB"/>
        </w:rPr>
        <w:t>4</w:t>
      </w:r>
      <w:r w:rsidR="2762FE93" w:rsidRPr="0EA4DF27">
        <w:rPr>
          <w:lang w:val="en-GB"/>
        </w:rPr>
        <w:t>. Eligible institutions can lead or partner in proposals. Eligible institutions may make one submission as lead.</w:t>
      </w:r>
    </w:p>
    <w:p w14:paraId="7D8A13CB" w14:textId="2515648D" w:rsidR="23A69A1D" w:rsidRDefault="23A69A1D" w:rsidP="21CEFACA">
      <w:pPr>
        <w:spacing w:line="240" w:lineRule="auto"/>
        <w:rPr>
          <w:lang w:val="en-GB"/>
        </w:rPr>
      </w:pPr>
      <w:r w:rsidRPr="1F309B68">
        <w:rPr>
          <w:lang w:val="en-GB"/>
        </w:rPr>
        <w:t>5. Sectoral proposals will be accepted from the IUA</w:t>
      </w:r>
      <w:r w:rsidR="316796D7" w:rsidRPr="1F309B68">
        <w:rPr>
          <w:lang w:val="en-GB"/>
        </w:rPr>
        <w:t xml:space="preserve"> and</w:t>
      </w:r>
      <w:r w:rsidRPr="1F309B68">
        <w:rPr>
          <w:lang w:val="en-GB"/>
        </w:rPr>
        <w:t xml:space="preserve"> THEA</w:t>
      </w:r>
      <w:r w:rsidR="1ED38916" w:rsidRPr="1F309B68">
        <w:rPr>
          <w:lang w:val="en-GB"/>
        </w:rPr>
        <w:t xml:space="preserve"> </w:t>
      </w:r>
      <w:r w:rsidRPr="1F309B68">
        <w:rPr>
          <w:lang w:val="en-GB"/>
        </w:rPr>
        <w:t>or a co</w:t>
      </w:r>
      <w:r w:rsidR="08134D8B" w:rsidRPr="1F309B68">
        <w:rPr>
          <w:lang w:val="en-GB"/>
        </w:rPr>
        <w:t>llaboration</w:t>
      </w:r>
      <w:r w:rsidR="0F8ADEA7" w:rsidRPr="1F309B68">
        <w:rPr>
          <w:lang w:val="en-GB"/>
        </w:rPr>
        <w:t xml:space="preserve"> </w:t>
      </w:r>
      <w:r w:rsidRPr="1F309B68">
        <w:rPr>
          <w:lang w:val="en-GB"/>
        </w:rPr>
        <w:t xml:space="preserve">of these representative bodies. </w:t>
      </w:r>
      <w:r w:rsidR="1301A817" w:rsidRPr="1F309B68">
        <w:rPr>
          <w:lang w:val="en-GB"/>
        </w:rPr>
        <w:t xml:space="preserve">Each sectoral proposal must include at least </w:t>
      </w:r>
      <w:r w:rsidR="1301A817" w:rsidRPr="1F309B68">
        <w:rPr>
          <w:b/>
          <w:bCs/>
          <w:u w:val="single"/>
          <w:lang w:val="en-GB"/>
        </w:rPr>
        <w:t>three</w:t>
      </w:r>
      <w:r w:rsidR="1301A817" w:rsidRPr="1F309B68">
        <w:rPr>
          <w:lang w:val="en-GB"/>
        </w:rPr>
        <w:t xml:space="preserve"> eligible HEIs. </w:t>
      </w:r>
      <w:r w:rsidRPr="1F309B68">
        <w:rPr>
          <w:lang w:val="en-GB"/>
        </w:rPr>
        <w:t>An eligible institution must act as a lead for the sectoral proposal for administrative and financial purposes.</w:t>
      </w:r>
    </w:p>
    <w:p w14:paraId="7378533F" w14:textId="5ADE9DE0" w:rsidR="09B7A653" w:rsidRDefault="09B7A653" w:rsidP="21CEFACA">
      <w:pPr>
        <w:spacing w:line="240" w:lineRule="auto"/>
        <w:rPr>
          <w:lang w:val="en-GB"/>
        </w:rPr>
      </w:pPr>
      <w:r w:rsidRPr="21CEFACA">
        <w:rPr>
          <w:lang w:val="en-GB"/>
        </w:rPr>
        <w:t>6. Relevant non-HEI organisations may be included in proposals as partners.</w:t>
      </w:r>
    </w:p>
    <w:p w14:paraId="405EBE45" w14:textId="20D2DDF1" w:rsidR="574DD3A2" w:rsidRDefault="574DD3A2" w:rsidP="21CEFACA">
      <w:pPr>
        <w:spacing w:line="240" w:lineRule="auto"/>
        <w:rPr>
          <w:rFonts w:ascii="Calibri" w:eastAsia="Calibri" w:hAnsi="Calibri" w:cs="Calibri"/>
          <w:lang w:val="en-GB"/>
        </w:rPr>
      </w:pPr>
    </w:p>
    <w:p w14:paraId="6D7F0863" w14:textId="73AD98B7" w:rsidR="07BBA7DF" w:rsidRDefault="07BBA7DF" w:rsidP="21CEFACA">
      <w:pPr>
        <w:spacing w:line="240" w:lineRule="auto"/>
        <w:rPr>
          <w:rFonts w:ascii="Calibri" w:eastAsia="Calibri" w:hAnsi="Calibri" w:cs="Calibri"/>
          <w:b/>
          <w:bCs/>
          <w:lang w:val="en-GB"/>
        </w:rPr>
      </w:pPr>
      <w:r w:rsidRPr="21CEFACA">
        <w:rPr>
          <w:rFonts w:ascii="Calibri" w:eastAsia="Calibri" w:hAnsi="Calibri" w:cs="Calibri"/>
          <w:b/>
          <w:bCs/>
          <w:lang w:val="en-GB"/>
        </w:rPr>
        <w:t>Application Procedure</w:t>
      </w:r>
    </w:p>
    <w:p w14:paraId="18E949A0" w14:textId="6FF0A0D1" w:rsidR="229C09BE" w:rsidRDefault="229C09BE" w:rsidP="21CEFACA">
      <w:pPr>
        <w:rPr>
          <w:lang w:val="en-GB"/>
        </w:rPr>
      </w:pPr>
      <w:r w:rsidRPr="21CEFACA">
        <w:rPr>
          <w:lang w:val="en-GB"/>
        </w:rPr>
        <w:t xml:space="preserve">In submitting an application, </w:t>
      </w:r>
      <w:r w:rsidR="0E6270E5" w:rsidRPr="21CEFACA">
        <w:rPr>
          <w:lang w:val="en-GB"/>
        </w:rPr>
        <w:t xml:space="preserve">all partner </w:t>
      </w:r>
      <w:r w:rsidRPr="21CEFACA">
        <w:rPr>
          <w:lang w:val="en-GB"/>
        </w:rPr>
        <w:t>HEI</w:t>
      </w:r>
      <w:r w:rsidR="0B174ADB" w:rsidRPr="21CEFACA">
        <w:rPr>
          <w:lang w:val="en-GB"/>
        </w:rPr>
        <w:t>s</w:t>
      </w:r>
      <w:r w:rsidRPr="21CEFACA">
        <w:rPr>
          <w:lang w:val="en-GB"/>
        </w:rPr>
        <w:t xml:space="preserve"> will be deemed to have accepted the conditions outlined in this and any subsequent clarifications from the HEA regarding this initiative and to have agreed to be bound by them. Furthermore, signing of the application by the head</w:t>
      </w:r>
      <w:r w:rsidR="6D19A93A" w:rsidRPr="21CEFACA">
        <w:rPr>
          <w:lang w:val="en-GB"/>
        </w:rPr>
        <w:t>s</w:t>
      </w:r>
      <w:r w:rsidRPr="21CEFACA">
        <w:rPr>
          <w:lang w:val="en-GB"/>
        </w:rPr>
        <w:t xml:space="preserve"> of institution (e.g. President, Provost etc.) reflects acceptance of the award and a commitment to provide the necessary support for the programme of activity. All applications must be signed by the head</w:t>
      </w:r>
      <w:r w:rsidR="275298D2" w:rsidRPr="21CEFACA">
        <w:rPr>
          <w:lang w:val="en-GB"/>
        </w:rPr>
        <w:t>s</w:t>
      </w:r>
      <w:r w:rsidRPr="21CEFACA">
        <w:rPr>
          <w:lang w:val="en-GB"/>
        </w:rPr>
        <w:t xml:space="preserve"> of the</w:t>
      </w:r>
      <w:r w:rsidR="46FF1102" w:rsidRPr="21CEFACA">
        <w:rPr>
          <w:lang w:val="en-GB"/>
        </w:rPr>
        <w:t xml:space="preserve"> </w:t>
      </w:r>
      <w:r w:rsidR="627BDA18" w:rsidRPr="21CEFACA">
        <w:rPr>
          <w:lang w:val="en-GB"/>
        </w:rPr>
        <w:t>collaborating</w:t>
      </w:r>
      <w:r w:rsidRPr="21CEFACA">
        <w:rPr>
          <w:lang w:val="en-GB"/>
        </w:rPr>
        <w:t xml:space="preserve"> institution</w:t>
      </w:r>
      <w:r w:rsidR="4506445F" w:rsidRPr="21CEFACA">
        <w:rPr>
          <w:lang w:val="en-GB"/>
        </w:rPr>
        <w:t>s</w:t>
      </w:r>
      <w:r w:rsidRPr="21CEFACA">
        <w:rPr>
          <w:lang w:val="en-GB"/>
        </w:rPr>
        <w:t xml:space="preserve">. </w:t>
      </w:r>
    </w:p>
    <w:p w14:paraId="53E0A5F3" w14:textId="3D24BFF8" w:rsidR="229C09BE" w:rsidRDefault="229C09BE" w:rsidP="21CEFACA">
      <w:pPr>
        <w:rPr>
          <w:lang w:val="en-GB"/>
        </w:rPr>
      </w:pPr>
      <w:r w:rsidRPr="1F309B68">
        <w:rPr>
          <w:lang w:val="en-GB"/>
        </w:rPr>
        <w:t xml:space="preserve">Applications should be submitted </w:t>
      </w:r>
      <w:r w:rsidR="46E7DC29" w:rsidRPr="1F309B68">
        <w:rPr>
          <w:lang w:val="en-GB"/>
        </w:rPr>
        <w:t xml:space="preserve">using the proposal template </w:t>
      </w:r>
      <w:r w:rsidRPr="1F309B68">
        <w:rPr>
          <w:lang w:val="en-GB"/>
        </w:rPr>
        <w:t xml:space="preserve">by email to </w:t>
      </w:r>
      <w:hyperlink r:id="rId9">
        <w:r w:rsidR="148B6E15" w:rsidRPr="1F309B68">
          <w:rPr>
            <w:rStyle w:val="Hyperlink"/>
            <w:lang w:val="en-GB"/>
          </w:rPr>
          <w:t>genderequality@hea.ie</w:t>
        </w:r>
      </w:hyperlink>
      <w:r w:rsidR="148B6E15" w:rsidRPr="1F309B68">
        <w:rPr>
          <w:lang w:val="en-GB"/>
        </w:rPr>
        <w:t xml:space="preserve"> </w:t>
      </w:r>
      <w:r w:rsidRPr="1F309B68">
        <w:rPr>
          <w:lang w:val="en-GB"/>
        </w:rPr>
        <w:t xml:space="preserve">by 12:00pm, </w:t>
      </w:r>
      <w:r w:rsidR="0FA09375" w:rsidRPr="1F309B68">
        <w:rPr>
          <w:lang w:val="en-GB"/>
        </w:rPr>
        <w:t>12</w:t>
      </w:r>
      <w:r w:rsidRPr="1F309B68">
        <w:rPr>
          <w:vertAlign w:val="superscript"/>
          <w:lang w:val="en-GB"/>
        </w:rPr>
        <w:t>th</w:t>
      </w:r>
      <w:r w:rsidRPr="1F309B68">
        <w:rPr>
          <w:lang w:val="en-GB"/>
        </w:rPr>
        <w:t xml:space="preserve"> </w:t>
      </w:r>
      <w:r w:rsidR="5AD04DFF" w:rsidRPr="1F309B68">
        <w:rPr>
          <w:lang w:val="en-GB"/>
        </w:rPr>
        <w:t>June</w:t>
      </w:r>
      <w:r w:rsidRPr="1F309B68">
        <w:rPr>
          <w:lang w:val="en-GB"/>
        </w:rPr>
        <w:t xml:space="preserve"> 20</w:t>
      </w:r>
      <w:r w:rsidR="71D74733" w:rsidRPr="1F309B68">
        <w:rPr>
          <w:lang w:val="en-GB"/>
        </w:rPr>
        <w:t>20</w:t>
      </w:r>
      <w:r w:rsidRPr="1F309B68">
        <w:rPr>
          <w:lang w:val="en-GB"/>
        </w:rPr>
        <w:t>.</w:t>
      </w:r>
    </w:p>
    <w:p w14:paraId="682A0F5C" w14:textId="50176AB3" w:rsidR="574DD3A2" w:rsidRDefault="574DD3A2" w:rsidP="21CEFACA">
      <w:pPr>
        <w:rPr>
          <w:lang w:val="en-GB"/>
        </w:rPr>
      </w:pPr>
    </w:p>
    <w:p w14:paraId="37127A9D" w14:textId="13A94B47" w:rsidR="6FECCCF6" w:rsidRDefault="6FECCCF6" w:rsidP="21CEFACA">
      <w:pPr>
        <w:rPr>
          <w:b/>
          <w:bCs/>
          <w:lang w:val="en-GB"/>
        </w:rPr>
      </w:pPr>
      <w:r w:rsidRPr="21CEFACA">
        <w:rPr>
          <w:b/>
          <w:bCs/>
          <w:lang w:val="en-GB"/>
        </w:rPr>
        <w:lastRenderedPageBreak/>
        <w:t xml:space="preserve">Assessment Panel  </w:t>
      </w:r>
    </w:p>
    <w:p w14:paraId="26C5A815" w14:textId="23443467" w:rsidR="6FECCCF6" w:rsidRDefault="6FECCCF6" w:rsidP="21CEFACA">
      <w:pPr>
        <w:rPr>
          <w:lang w:val="en-GB"/>
        </w:rPr>
      </w:pPr>
      <w:r w:rsidRPr="21CEFACA">
        <w:rPr>
          <w:lang w:val="en-GB"/>
        </w:rPr>
        <w:t xml:space="preserve">The HEA will establish an Assessment Panel to evaluate the applications received.  The Assessment Panel will comprise members with expertise in this area. In establishing the Assessment Panel, due regard shall be given to gender balance. </w:t>
      </w:r>
    </w:p>
    <w:p w14:paraId="7003832B" w14:textId="3A1C0DF4" w:rsidR="6FECCCF6" w:rsidRDefault="6FECCCF6" w:rsidP="21CEFACA">
      <w:pPr>
        <w:rPr>
          <w:lang w:val="en-GB"/>
        </w:rPr>
      </w:pPr>
      <w:r w:rsidRPr="21CEFACA">
        <w:rPr>
          <w:lang w:val="en-GB"/>
        </w:rPr>
        <w:t xml:space="preserve">The Assessment Panel will consider the extent to which the applications meet the criteria of the 2020 Call as outlined in this document.  </w:t>
      </w:r>
    </w:p>
    <w:p w14:paraId="77A53F6A" w14:textId="479E82DD" w:rsidR="6FECCCF6" w:rsidRDefault="6FECCCF6" w:rsidP="21CEFACA">
      <w:pPr>
        <w:rPr>
          <w:lang w:val="en-GB"/>
        </w:rPr>
      </w:pPr>
      <w:r w:rsidRPr="21CEFACA">
        <w:rPr>
          <w:lang w:val="en-GB"/>
        </w:rPr>
        <w:t xml:space="preserve">All applications will be assessed solely on the basis of the material provided to the HEA at the time of submission.  </w:t>
      </w:r>
    </w:p>
    <w:p w14:paraId="5D270022" w14:textId="6CBB4787" w:rsidR="6FECCCF6" w:rsidRDefault="6FECCCF6" w:rsidP="21CEFACA">
      <w:pPr>
        <w:rPr>
          <w:lang w:val="en-GB"/>
        </w:rPr>
      </w:pPr>
      <w:r w:rsidRPr="21CEFACA">
        <w:rPr>
          <w:lang w:val="en-GB"/>
        </w:rPr>
        <w:t xml:space="preserve">The </w:t>
      </w:r>
      <w:r w:rsidR="4DDB061E" w:rsidRPr="21CEFACA">
        <w:rPr>
          <w:lang w:val="en-GB"/>
        </w:rPr>
        <w:t>HEA</w:t>
      </w:r>
      <w:r w:rsidRPr="21CEFACA">
        <w:rPr>
          <w:lang w:val="en-GB"/>
        </w:rPr>
        <w:t xml:space="preserve">’s decision on the award of funding under this </w:t>
      </w:r>
      <w:r w:rsidR="0F303FCD" w:rsidRPr="21CEFACA">
        <w:rPr>
          <w:lang w:val="en-GB"/>
        </w:rPr>
        <w:t xml:space="preserve">Call </w:t>
      </w:r>
      <w:r w:rsidRPr="21CEFACA">
        <w:rPr>
          <w:lang w:val="en-GB"/>
        </w:rPr>
        <w:t xml:space="preserve">is final.  </w:t>
      </w:r>
    </w:p>
    <w:p w14:paraId="1157B174" w14:textId="66FDE9DA" w:rsidR="574DD3A2" w:rsidRDefault="574DD3A2" w:rsidP="21CEFACA">
      <w:pPr>
        <w:rPr>
          <w:lang w:val="en-GB"/>
        </w:rPr>
      </w:pPr>
    </w:p>
    <w:p w14:paraId="3C6A2772" w14:textId="7A85CDF2" w:rsidR="2648666E" w:rsidRDefault="2648666E" w:rsidP="21CEFACA">
      <w:pPr>
        <w:rPr>
          <w:b/>
          <w:bCs/>
          <w:lang w:val="en-GB"/>
        </w:rPr>
      </w:pPr>
      <w:r w:rsidRPr="21CEFACA">
        <w:rPr>
          <w:b/>
          <w:bCs/>
          <w:lang w:val="en-GB"/>
        </w:rPr>
        <w:t xml:space="preserve">Assessment Criteria </w:t>
      </w:r>
    </w:p>
    <w:p w14:paraId="361B8ECA" w14:textId="383A52F5" w:rsidR="2648666E" w:rsidRDefault="2648666E" w:rsidP="21CEFACA">
      <w:pPr>
        <w:rPr>
          <w:lang w:val="en-GB"/>
        </w:rPr>
      </w:pPr>
      <w:r w:rsidRPr="21CEFACA">
        <w:rPr>
          <w:lang w:val="en-GB"/>
        </w:rPr>
        <w:t xml:space="preserve">In accordance with the objective of this initiative as outlined above, </w:t>
      </w:r>
      <w:r w:rsidR="275CF3C6" w:rsidRPr="21CEFACA">
        <w:rPr>
          <w:lang w:val="en-GB"/>
        </w:rPr>
        <w:t>t</w:t>
      </w:r>
      <w:r w:rsidR="275CF3C6" w:rsidRPr="21CEFACA">
        <w:rPr>
          <w:rFonts w:ascii="Calibri" w:eastAsia="Calibri" w:hAnsi="Calibri" w:cs="Calibri"/>
          <w:lang w:val="en-GB"/>
        </w:rPr>
        <w:t xml:space="preserve">he following criteria will be used to assess proposals. A minimum threshold will apply in respect of each of the </w:t>
      </w:r>
      <w:r w:rsidR="213BFA06" w:rsidRPr="21CEFACA">
        <w:rPr>
          <w:rFonts w:ascii="Calibri" w:eastAsia="Calibri" w:hAnsi="Calibri" w:cs="Calibri"/>
          <w:lang w:val="en-GB"/>
        </w:rPr>
        <w:t>assessment criteria</w:t>
      </w:r>
      <w:r w:rsidR="275CF3C6" w:rsidRPr="21CEFACA">
        <w:rPr>
          <w:rFonts w:ascii="Calibri" w:eastAsia="Calibri" w:hAnsi="Calibri" w:cs="Calibri"/>
          <w:lang w:val="en-GB"/>
        </w:rPr>
        <w:t>.</w:t>
      </w:r>
      <w:r w:rsidR="673CE9AA" w:rsidRPr="21CEFACA">
        <w:rPr>
          <w:rFonts w:ascii="Calibri" w:eastAsia="Calibri" w:hAnsi="Calibri" w:cs="Calibri"/>
          <w:lang w:val="en-GB"/>
        </w:rPr>
        <w:t xml:space="preserve"> Only proposals which score 70 marks or over (70%) will be considered for funding.</w:t>
      </w:r>
      <w:r w:rsidR="275CF3C6" w:rsidRPr="21CEFACA">
        <w:rPr>
          <w:rFonts w:ascii="Calibri" w:eastAsia="Calibri" w:hAnsi="Calibri" w:cs="Calibri"/>
          <w:lang w:val="en-GB"/>
        </w:rPr>
        <w:t xml:space="preserve"> Meeting the minimum threshold is no guarantee of funding.</w:t>
      </w:r>
      <w:r w:rsidRPr="21CEFACA">
        <w:rPr>
          <w:lang w:val="en-GB"/>
        </w:rPr>
        <w:t xml:space="preserve"> </w:t>
      </w:r>
    </w:p>
    <w:tbl>
      <w:tblPr>
        <w:tblStyle w:val="TableGrid"/>
        <w:tblW w:w="0" w:type="auto"/>
        <w:tblLayout w:type="fixed"/>
        <w:tblLook w:val="06A0" w:firstRow="1" w:lastRow="0" w:firstColumn="1" w:lastColumn="0" w:noHBand="1" w:noVBand="1"/>
      </w:tblPr>
      <w:tblGrid>
        <w:gridCol w:w="5791"/>
        <w:gridCol w:w="1785"/>
        <w:gridCol w:w="1785"/>
      </w:tblGrid>
      <w:tr w:rsidR="574DD3A2" w14:paraId="4ACE7817" w14:textId="77777777" w:rsidTr="1F309B68">
        <w:tc>
          <w:tcPr>
            <w:tcW w:w="5791" w:type="dxa"/>
          </w:tcPr>
          <w:p w14:paraId="5E516EE0" w14:textId="4E8F2556" w:rsidR="7A5FDB32" w:rsidRDefault="4463E100" w:rsidP="21CEFACA">
            <w:pPr>
              <w:rPr>
                <w:b/>
                <w:bCs/>
                <w:lang w:val="en-GB"/>
              </w:rPr>
            </w:pPr>
            <w:r w:rsidRPr="21CEFACA">
              <w:rPr>
                <w:b/>
                <w:bCs/>
                <w:lang w:val="en-GB"/>
              </w:rPr>
              <w:t>Assessment Criterion</w:t>
            </w:r>
          </w:p>
        </w:tc>
        <w:tc>
          <w:tcPr>
            <w:tcW w:w="1785" w:type="dxa"/>
          </w:tcPr>
          <w:p w14:paraId="3A777475" w14:textId="7FCEEF75" w:rsidR="7A5FDB32" w:rsidRDefault="4463E100" w:rsidP="21CEFACA">
            <w:pPr>
              <w:rPr>
                <w:b/>
                <w:bCs/>
                <w:lang w:val="en-GB"/>
              </w:rPr>
            </w:pPr>
            <w:r w:rsidRPr="21CEFACA">
              <w:rPr>
                <w:b/>
                <w:bCs/>
                <w:lang w:val="en-GB"/>
              </w:rPr>
              <w:t>Score</w:t>
            </w:r>
          </w:p>
        </w:tc>
        <w:tc>
          <w:tcPr>
            <w:tcW w:w="1785" w:type="dxa"/>
          </w:tcPr>
          <w:p w14:paraId="110C0F97" w14:textId="27211345" w:rsidR="6E13F94D" w:rsidRDefault="433B8C3A" w:rsidP="21CEFACA">
            <w:pPr>
              <w:rPr>
                <w:b/>
                <w:bCs/>
                <w:lang w:val="en-GB"/>
              </w:rPr>
            </w:pPr>
            <w:r w:rsidRPr="21CEFACA">
              <w:rPr>
                <w:b/>
                <w:bCs/>
                <w:lang w:val="en-GB"/>
              </w:rPr>
              <w:t>Threshold</w:t>
            </w:r>
          </w:p>
        </w:tc>
      </w:tr>
      <w:tr w:rsidR="574DD3A2" w14:paraId="29DA7A40" w14:textId="77777777" w:rsidTr="1F309B68">
        <w:tc>
          <w:tcPr>
            <w:tcW w:w="5791" w:type="dxa"/>
          </w:tcPr>
          <w:p w14:paraId="521CC316" w14:textId="640C0C50" w:rsidR="7A5FDB32" w:rsidRDefault="4463E100" w:rsidP="21CEFACA">
            <w:pPr>
              <w:rPr>
                <w:lang w:val="en-GB"/>
              </w:rPr>
            </w:pPr>
            <w:r w:rsidRPr="21CEFACA">
              <w:rPr>
                <w:lang w:val="en-GB"/>
              </w:rPr>
              <w:t>Quality of the Proposal</w:t>
            </w:r>
          </w:p>
        </w:tc>
        <w:tc>
          <w:tcPr>
            <w:tcW w:w="1785" w:type="dxa"/>
          </w:tcPr>
          <w:p w14:paraId="1E6E86E4" w14:textId="37C4683F" w:rsidR="77DB01AC" w:rsidRDefault="07A62EE5" w:rsidP="21CEFACA">
            <w:pPr>
              <w:rPr>
                <w:lang w:val="en-GB"/>
              </w:rPr>
            </w:pPr>
            <w:r w:rsidRPr="21CEFACA">
              <w:rPr>
                <w:lang w:val="en-GB"/>
              </w:rPr>
              <w:t>3</w:t>
            </w:r>
            <w:r w:rsidR="4463E100" w:rsidRPr="21CEFACA">
              <w:rPr>
                <w:lang w:val="en-GB"/>
              </w:rPr>
              <w:t>0 marks</w:t>
            </w:r>
          </w:p>
        </w:tc>
        <w:tc>
          <w:tcPr>
            <w:tcW w:w="1785" w:type="dxa"/>
          </w:tcPr>
          <w:p w14:paraId="542FD9CC" w14:textId="44BEBDDC" w:rsidR="44F833B7" w:rsidRDefault="1BE661CA" w:rsidP="21CEFACA">
            <w:pPr>
              <w:rPr>
                <w:lang w:val="en-GB"/>
              </w:rPr>
            </w:pPr>
            <w:r w:rsidRPr="21CEFACA">
              <w:rPr>
                <w:lang w:val="en-GB"/>
              </w:rPr>
              <w:t>15 marks</w:t>
            </w:r>
          </w:p>
        </w:tc>
      </w:tr>
      <w:tr w:rsidR="574DD3A2" w14:paraId="25B4638D" w14:textId="77777777" w:rsidTr="1F309B68">
        <w:tc>
          <w:tcPr>
            <w:tcW w:w="5791" w:type="dxa"/>
          </w:tcPr>
          <w:p w14:paraId="58B29529" w14:textId="6514DCFE" w:rsidR="7A5FDB32" w:rsidRDefault="4463E100" w:rsidP="21CEFACA">
            <w:pPr>
              <w:rPr>
                <w:lang w:val="en-GB"/>
              </w:rPr>
            </w:pPr>
            <w:r w:rsidRPr="21CEFACA">
              <w:rPr>
                <w:lang w:val="en-GB"/>
              </w:rPr>
              <w:t>Benefit to HEI Stakeholders</w:t>
            </w:r>
            <w:r w:rsidR="32620B38" w:rsidRPr="21CEFACA">
              <w:rPr>
                <w:lang w:val="en-GB"/>
              </w:rPr>
              <w:t xml:space="preserve"> nationally</w:t>
            </w:r>
          </w:p>
        </w:tc>
        <w:tc>
          <w:tcPr>
            <w:tcW w:w="1785" w:type="dxa"/>
          </w:tcPr>
          <w:p w14:paraId="02BD1C89" w14:textId="3026E59E" w:rsidR="00004A82" w:rsidRDefault="1C777405" w:rsidP="21CEFACA">
            <w:pPr>
              <w:rPr>
                <w:lang w:val="en-GB"/>
              </w:rPr>
            </w:pPr>
            <w:r w:rsidRPr="1F309B68">
              <w:rPr>
                <w:lang w:val="en-GB"/>
              </w:rPr>
              <w:t>3</w:t>
            </w:r>
            <w:r w:rsidR="408359A8" w:rsidRPr="1F309B68">
              <w:rPr>
                <w:lang w:val="en-GB"/>
              </w:rPr>
              <w:t>0 marks</w:t>
            </w:r>
          </w:p>
        </w:tc>
        <w:tc>
          <w:tcPr>
            <w:tcW w:w="1785" w:type="dxa"/>
          </w:tcPr>
          <w:p w14:paraId="4995A076" w14:textId="2B8703A8" w:rsidR="395D2473" w:rsidRDefault="6417AE1A" w:rsidP="21CEFACA">
            <w:pPr>
              <w:rPr>
                <w:lang w:val="en-GB"/>
              </w:rPr>
            </w:pPr>
            <w:r w:rsidRPr="1F309B68">
              <w:rPr>
                <w:lang w:val="en-GB"/>
              </w:rPr>
              <w:t>1</w:t>
            </w:r>
            <w:r w:rsidR="2F45B4E5" w:rsidRPr="1F309B68">
              <w:rPr>
                <w:lang w:val="en-GB"/>
              </w:rPr>
              <w:t>5</w:t>
            </w:r>
            <w:r w:rsidRPr="1F309B68">
              <w:rPr>
                <w:lang w:val="en-GB"/>
              </w:rPr>
              <w:t xml:space="preserve"> marks</w:t>
            </w:r>
          </w:p>
        </w:tc>
      </w:tr>
      <w:tr w:rsidR="574DD3A2" w14:paraId="2BB0D550" w14:textId="77777777" w:rsidTr="1F309B68">
        <w:tc>
          <w:tcPr>
            <w:tcW w:w="5791" w:type="dxa"/>
          </w:tcPr>
          <w:p w14:paraId="6A5D5460" w14:textId="71F40AD0" w:rsidR="791C86AB" w:rsidRDefault="32620B38" w:rsidP="21CEFACA">
            <w:pPr>
              <w:rPr>
                <w:lang w:val="en-GB"/>
              </w:rPr>
            </w:pPr>
            <w:r w:rsidRPr="21CEFACA">
              <w:rPr>
                <w:lang w:val="en-GB"/>
              </w:rPr>
              <w:t>Alignment with recommendations of HEA Expert Group and/or Gender Equality taskforce’s recommended actions</w:t>
            </w:r>
          </w:p>
        </w:tc>
        <w:tc>
          <w:tcPr>
            <w:tcW w:w="1785" w:type="dxa"/>
          </w:tcPr>
          <w:p w14:paraId="4808CA42" w14:textId="7F26D88E" w:rsidR="64B9D1CB" w:rsidRDefault="777256F6" w:rsidP="21CEFACA">
            <w:pPr>
              <w:rPr>
                <w:lang w:val="en-GB"/>
              </w:rPr>
            </w:pPr>
            <w:r w:rsidRPr="21CEFACA">
              <w:rPr>
                <w:lang w:val="en-GB"/>
              </w:rPr>
              <w:t>20 marks</w:t>
            </w:r>
          </w:p>
        </w:tc>
        <w:tc>
          <w:tcPr>
            <w:tcW w:w="1785" w:type="dxa"/>
          </w:tcPr>
          <w:p w14:paraId="18BB9BB6" w14:textId="658E56AE" w:rsidR="72D52ED8" w:rsidRDefault="30244D83" w:rsidP="21CEFACA">
            <w:pPr>
              <w:rPr>
                <w:lang w:val="en-GB"/>
              </w:rPr>
            </w:pPr>
            <w:r w:rsidRPr="21CEFACA">
              <w:rPr>
                <w:lang w:val="en-GB"/>
              </w:rPr>
              <w:t>10 marks</w:t>
            </w:r>
          </w:p>
        </w:tc>
      </w:tr>
      <w:tr w:rsidR="574DD3A2" w14:paraId="05FE4318" w14:textId="77777777" w:rsidTr="1F309B68">
        <w:tc>
          <w:tcPr>
            <w:tcW w:w="5791" w:type="dxa"/>
          </w:tcPr>
          <w:p w14:paraId="3E741638" w14:textId="0AA667A6" w:rsidR="507B2615" w:rsidRDefault="35BA9F3A" w:rsidP="21CEFACA">
            <w:pPr>
              <w:rPr>
                <w:lang w:val="en-GB"/>
              </w:rPr>
            </w:pPr>
            <w:r w:rsidRPr="21CEFACA">
              <w:rPr>
                <w:lang w:val="en-GB"/>
              </w:rPr>
              <w:t>I</w:t>
            </w:r>
            <w:r w:rsidR="655D980D" w:rsidRPr="21CEFACA">
              <w:rPr>
                <w:lang w:val="en-GB"/>
              </w:rPr>
              <w:t xml:space="preserve">nnovation </w:t>
            </w:r>
            <w:r w:rsidRPr="21CEFACA">
              <w:rPr>
                <w:lang w:val="en-GB"/>
              </w:rPr>
              <w:t xml:space="preserve">in </w:t>
            </w:r>
            <w:r w:rsidR="039B0338" w:rsidRPr="21CEFACA">
              <w:rPr>
                <w:lang w:val="en-GB"/>
              </w:rPr>
              <w:t>specified</w:t>
            </w:r>
            <w:r w:rsidRPr="21CEFACA">
              <w:rPr>
                <w:lang w:val="en-GB"/>
              </w:rPr>
              <w:t xml:space="preserve"> area of funding (research on or advancing gender equality initiatives in Ireland/ Training programmes specifically addressing gender equality/ Athena SWAN capacity-building activities)</w:t>
            </w:r>
          </w:p>
        </w:tc>
        <w:tc>
          <w:tcPr>
            <w:tcW w:w="1785" w:type="dxa"/>
          </w:tcPr>
          <w:p w14:paraId="4F2F9873" w14:textId="5D5721B7" w:rsidR="3B1689D8" w:rsidRDefault="37A9C12B" w:rsidP="21CEFACA">
            <w:pPr>
              <w:rPr>
                <w:lang w:val="en-GB"/>
              </w:rPr>
            </w:pPr>
            <w:r w:rsidRPr="21CEFACA">
              <w:rPr>
                <w:lang w:val="en-GB"/>
              </w:rPr>
              <w:t>10 marks</w:t>
            </w:r>
          </w:p>
        </w:tc>
        <w:tc>
          <w:tcPr>
            <w:tcW w:w="1785" w:type="dxa"/>
          </w:tcPr>
          <w:p w14:paraId="2B475078" w14:textId="01E68AC6" w:rsidR="56E75954" w:rsidRDefault="4A341401" w:rsidP="21CEFACA">
            <w:pPr>
              <w:rPr>
                <w:lang w:val="en-GB"/>
              </w:rPr>
            </w:pPr>
            <w:r w:rsidRPr="21CEFACA">
              <w:rPr>
                <w:lang w:val="en-GB"/>
              </w:rPr>
              <w:t>5 marks</w:t>
            </w:r>
          </w:p>
        </w:tc>
      </w:tr>
      <w:tr w:rsidR="574DD3A2" w14:paraId="2E180D8F" w14:textId="77777777" w:rsidTr="1F309B68">
        <w:tc>
          <w:tcPr>
            <w:tcW w:w="5791" w:type="dxa"/>
          </w:tcPr>
          <w:p w14:paraId="43B1E07E" w14:textId="48DF4D62" w:rsidR="791C86AB" w:rsidRDefault="32620B38" w:rsidP="21CEFACA">
            <w:pPr>
              <w:rPr>
                <w:rFonts w:ascii="Calibri" w:eastAsia="Calibri" w:hAnsi="Calibri" w:cs="Calibri"/>
                <w:lang w:val="en-GB"/>
              </w:rPr>
            </w:pPr>
            <w:r w:rsidRPr="21CEFACA">
              <w:rPr>
                <w:lang w:val="en-GB"/>
              </w:rPr>
              <w:t xml:space="preserve">Funding - </w:t>
            </w:r>
            <w:r w:rsidRPr="21CEFACA">
              <w:rPr>
                <w:rFonts w:ascii="Calibri" w:eastAsia="Calibri" w:hAnsi="Calibri" w:cs="Calibri"/>
                <w:lang w:val="en-GB"/>
              </w:rPr>
              <w:t>Value for money and impact of programme</w:t>
            </w:r>
          </w:p>
        </w:tc>
        <w:tc>
          <w:tcPr>
            <w:tcW w:w="1785" w:type="dxa"/>
          </w:tcPr>
          <w:p w14:paraId="68336EE6" w14:textId="740FB0FC" w:rsidR="247DB629" w:rsidRDefault="5589FFFE" w:rsidP="21CEFACA">
            <w:pPr>
              <w:rPr>
                <w:lang w:val="en-GB"/>
              </w:rPr>
            </w:pPr>
            <w:r w:rsidRPr="21CEFACA">
              <w:rPr>
                <w:lang w:val="en-GB"/>
              </w:rPr>
              <w:t>10 marks</w:t>
            </w:r>
          </w:p>
        </w:tc>
        <w:tc>
          <w:tcPr>
            <w:tcW w:w="1785" w:type="dxa"/>
          </w:tcPr>
          <w:p w14:paraId="40B901C0" w14:textId="39939A97" w:rsidR="1299EF7F" w:rsidRDefault="5CA4741B" w:rsidP="21CEFACA">
            <w:pPr>
              <w:rPr>
                <w:lang w:val="en-GB"/>
              </w:rPr>
            </w:pPr>
            <w:r w:rsidRPr="21CEFACA">
              <w:rPr>
                <w:lang w:val="en-GB"/>
              </w:rPr>
              <w:t>5 marks</w:t>
            </w:r>
          </w:p>
        </w:tc>
      </w:tr>
    </w:tbl>
    <w:p w14:paraId="6E786DBF" w14:textId="19582DF6" w:rsidR="574DD3A2" w:rsidRDefault="574DD3A2" w:rsidP="21CEFACA">
      <w:pPr>
        <w:rPr>
          <w:lang w:val="en-GB"/>
        </w:rPr>
      </w:pPr>
    </w:p>
    <w:p w14:paraId="0FA2A20C" w14:textId="16569B19" w:rsidR="3690A984" w:rsidRDefault="3690A984" w:rsidP="21CEFACA">
      <w:pPr>
        <w:rPr>
          <w:b/>
          <w:bCs/>
          <w:lang w:val="en-GB"/>
        </w:rPr>
      </w:pPr>
      <w:r w:rsidRPr="21CEFACA">
        <w:rPr>
          <w:b/>
          <w:bCs/>
          <w:lang w:val="en-GB"/>
        </w:rPr>
        <w:t xml:space="preserve">Assessment and Approval Timeframe  </w:t>
      </w:r>
    </w:p>
    <w:p w14:paraId="64B41E11" w14:textId="3FF81BAB" w:rsidR="3690A984" w:rsidRDefault="3690A984" w:rsidP="21CEFACA">
      <w:pPr>
        <w:rPr>
          <w:lang w:val="en-GB"/>
        </w:rPr>
      </w:pPr>
      <w:r w:rsidRPr="21CEFACA">
        <w:rPr>
          <w:lang w:val="en-GB"/>
        </w:rPr>
        <w:t>The assessment process will be undertaken in June 2020 with approved funding advised by the end of June 2020.</w:t>
      </w:r>
    </w:p>
    <w:p w14:paraId="0C402982" w14:textId="31557704" w:rsidR="574DD3A2" w:rsidRDefault="574DD3A2" w:rsidP="21CEFACA">
      <w:pPr>
        <w:rPr>
          <w:lang w:val="en-GB"/>
        </w:rPr>
      </w:pPr>
    </w:p>
    <w:p w14:paraId="0009719B" w14:textId="0AE8A2C6" w:rsidR="38E69EDA" w:rsidRDefault="38E69EDA" w:rsidP="21CEFACA">
      <w:pPr>
        <w:rPr>
          <w:b/>
          <w:bCs/>
          <w:lang w:val="en-GB"/>
        </w:rPr>
      </w:pPr>
      <w:r w:rsidRPr="1F309B68">
        <w:rPr>
          <w:b/>
          <w:bCs/>
          <w:lang w:val="en-GB"/>
        </w:rPr>
        <w:t>Reporting and monitoring</w:t>
      </w:r>
    </w:p>
    <w:p w14:paraId="2163BB2E" w14:textId="6E1108F3" w:rsidR="38E69EDA" w:rsidRDefault="38E69EDA" w:rsidP="21CEFACA">
      <w:pPr>
        <w:rPr>
          <w:rFonts w:ascii="Calibri" w:eastAsia="Calibri" w:hAnsi="Calibri" w:cs="Calibri"/>
          <w:lang w:val="en-GB"/>
        </w:rPr>
      </w:pPr>
      <w:r w:rsidRPr="1F309B68">
        <w:rPr>
          <w:rFonts w:ascii="Calibri" w:eastAsia="Calibri" w:hAnsi="Calibri" w:cs="Calibri"/>
          <w:lang w:val="en-GB"/>
        </w:rPr>
        <w:t>Institutions with successful proposals will be required to report to the HEA on progress and the outcomes of funded projects within 12 months of the awarding of funding.</w:t>
      </w:r>
    </w:p>
    <w:p w14:paraId="619FB4DD" w14:textId="67FB5D47" w:rsidR="574DD3A2" w:rsidRDefault="574DD3A2" w:rsidP="21CEFACA">
      <w:pPr>
        <w:spacing w:line="240" w:lineRule="auto"/>
        <w:rPr>
          <w:lang w:val="en-GB"/>
        </w:rPr>
      </w:pPr>
    </w:p>
    <w:p w14:paraId="098DB16A" w14:textId="6DDC67B8" w:rsidR="574DD3A2" w:rsidRDefault="574DD3A2" w:rsidP="21CEFACA">
      <w:pPr>
        <w:rPr>
          <w:b/>
          <w:bCs/>
          <w:lang w:val="en-GB"/>
        </w:rPr>
      </w:pPr>
      <w:r w:rsidRPr="1F309B68">
        <w:rPr>
          <w:lang w:val="en-GB"/>
        </w:rPr>
        <w:br w:type="page"/>
      </w:r>
      <w:r w:rsidR="50AA65D3" w:rsidRPr="1F309B68">
        <w:rPr>
          <w:b/>
          <w:bCs/>
          <w:lang w:val="en-GB"/>
        </w:rPr>
        <w:lastRenderedPageBreak/>
        <w:t>Appendix 1</w:t>
      </w:r>
    </w:p>
    <w:p w14:paraId="0EB32AE1" w14:textId="1726B47B" w:rsidR="50AA65D3" w:rsidRDefault="50AA65D3" w:rsidP="21CEFACA">
      <w:pPr>
        <w:rPr>
          <w:b/>
          <w:bCs/>
          <w:lang w:val="en-GB"/>
        </w:rPr>
      </w:pPr>
      <w:r w:rsidRPr="1F309B68">
        <w:rPr>
          <w:b/>
          <w:bCs/>
          <w:lang w:val="en-GB"/>
        </w:rPr>
        <w:t xml:space="preserve">Eligible HEIs </w:t>
      </w:r>
    </w:p>
    <w:p w14:paraId="2302925E" w14:textId="4FD5F2F3" w:rsidR="12941B72" w:rsidRDefault="12941B72" w:rsidP="21CEFACA">
      <w:pPr>
        <w:rPr>
          <w:lang w:val="en-GB"/>
        </w:rPr>
      </w:pPr>
      <w:r w:rsidRPr="21CEFACA">
        <w:rPr>
          <w:lang w:val="en-GB"/>
        </w:rPr>
        <w:t>Athlone Institute of Technology</w:t>
      </w:r>
    </w:p>
    <w:p w14:paraId="1DB89361" w14:textId="48473717" w:rsidR="12941B72" w:rsidRDefault="12941B72" w:rsidP="21CEFACA">
      <w:pPr>
        <w:rPr>
          <w:lang w:val="en-GB"/>
        </w:rPr>
      </w:pPr>
      <w:r w:rsidRPr="21CEFACA">
        <w:rPr>
          <w:lang w:val="en-GB"/>
        </w:rPr>
        <w:t>Carlow College</w:t>
      </w:r>
    </w:p>
    <w:p w14:paraId="4FB514D7" w14:textId="34225429" w:rsidR="12941B72" w:rsidRDefault="12941B72" w:rsidP="21CEFACA">
      <w:pPr>
        <w:rPr>
          <w:lang w:val="en-GB"/>
        </w:rPr>
      </w:pPr>
      <w:r w:rsidRPr="21CEFACA">
        <w:rPr>
          <w:lang w:val="en-GB"/>
        </w:rPr>
        <w:t>Cork Institute of Technology</w:t>
      </w:r>
    </w:p>
    <w:p w14:paraId="245B0D26" w14:textId="06DE51E3" w:rsidR="12941B72" w:rsidRDefault="12941B72" w:rsidP="21CEFACA">
      <w:pPr>
        <w:rPr>
          <w:lang w:val="en-GB"/>
        </w:rPr>
      </w:pPr>
      <w:r w:rsidRPr="21CEFACA">
        <w:rPr>
          <w:lang w:val="en-GB"/>
        </w:rPr>
        <w:t>Dublin City University</w:t>
      </w:r>
    </w:p>
    <w:p w14:paraId="2D1D3C17" w14:textId="61D261E7" w:rsidR="12941B72" w:rsidRDefault="12941B72" w:rsidP="21CEFACA">
      <w:pPr>
        <w:rPr>
          <w:lang w:val="en-GB"/>
        </w:rPr>
      </w:pPr>
      <w:r w:rsidRPr="21CEFACA">
        <w:rPr>
          <w:lang w:val="en-GB"/>
        </w:rPr>
        <w:t>Dublin Institute for Advanced Studies</w:t>
      </w:r>
    </w:p>
    <w:p w14:paraId="3AB2207E" w14:textId="2D0E9509" w:rsidR="12941B72" w:rsidRDefault="12941B72" w:rsidP="21CEFACA">
      <w:pPr>
        <w:rPr>
          <w:lang w:val="en-GB"/>
        </w:rPr>
      </w:pPr>
      <w:r w:rsidRPr="21CEFACA">
        <w:rPr>
          <w:lang w:val="en-GB"/>
        </w:rPr>
        <w:t>Dundalk Institute of Technology</w:t>
      </w:r>
    </w:p>
    <w:p w14:paraId="15E6A880" w14:textId="7A1BBC09" w:rsidR="12941B72" w:rsidRDefault="12941B72" w:rsidP="21CEFACA">
      <w:pPr>
        <w:rPr>
          <w:lang w:val="en-GB"/>
        </w:rPr>
      </w:pPr>
      <w:r w:rsidRPr="21CEFACA">
        <w:rPr>
          <w:lang w:val="en-GB"/>
        </w:rPr>
        <w:t>Galway–Mayo Institute of Technology</w:t>
      </w:r>
    </w:p>
    <w:p w14:paraId="5FE02FC1" w14:textId="5336AE97" w:rsidR="12941B72" w:rsidRDefault="12941B72" w:rsidP="21CEFACA">
      <w:pPr>
        <w:rPr>
          <w:lang w:val="en-GB"/>
        </w:rPr>
      </w:pPr>
      <w:r w:rsidRPr="21CEFACA">
        <w:rPr>
          <w:lang w:val="en-GB"/>
        </w:rPr>
        <w:t xml:space="preserve">Institute of Art, Design and Technology, </w:t>
      </w:r>
      <w:proofErr w:type="spellStart"/>
      <w:r w:rsidRPr="21CEFACA">
        <w:rPr>
          <w:lang w:val="en-GB"/>
        </w:rPr>
        <w:t>Dún</w:t>
      </w:r>
      <w:proofErr w:type="spellEnd"/>
      <w:r w:rsidRPr="21CEFACA">
        <w:rPr>
          <w:lang w:val="en-GB"/>
        </w:rPr>
        <w:t xml:space="preserve"> Laoghaire</w:t>
      </w:r>
    </w:p>
    <w:p w14:paraId="123C6412" w14:textId="59A80E4A" w:rsidR="12941B72" w:rsidRDefault="12941B72" w:rsidP="21CEFACA">
      <w:pPr>
        <w:rPr>
          <w:lang w:val="en-GB"/>
        </w:rPr>
      </w:pPr>
      <w:r w:rsidRPr="21CEFACA">
        <w:rPr>
          <w:lang w:val="en-GB"/>
        </w:rPr>
        <w:t>Institute of Technology, Carlow</w:t>
      </w:r>
    </w:p>
    <w:p w14:paraId="4DFC0EBC" w14:textId="72158367" w:rsidR="12941B72" w:rsidRDefault="12941B72" w:rsidP="21CEFACA">
      <w:pPr>
        <w:rPr>
          <w:lang w:val="en-GB"/>
        </w:rPr>
      </w:pPr>
      <w:r w:rsidRPr="21CEFACA">
        <w:rPr>
          <w:lang w:val="en-GB"/>
        </w:rPr>
        <w:t>Institute of Technology, Sligo</w:t>
      </w:r>
    </w:p>
    <w:p w14:paraId="6861EC25" w14:textId="595403D0" w:rsidR="12941B72" w:rsidRDefault="12941B72" w:rsidP="21CEFACA">
      <w:pPr>
        <w:rPr>
          <w:lang w:val="en-GB"/>
        </w:rPr>
      </w:pPr>
      <w:r w:rsidRPr="21CEFACA">
        <w:rPr>
          <w:lang w:val="en-GB"/>
        </w:rPr>
        <w:t>Institute of Technology, Tralee</w:t>
      </w:r>
    </w:p>
    <w:p w14:paraId="79ED36BC" w14:textId="03E9EC81" w:rsidR="12941B72" w:rsidRDefault="12941B72" w:rsidP="21CEFACA">
      <w:pPr>
        <w:rPr>
          <w:lang w:val="en-GB"/>
        </w:rPr>
      </w:pPr>
      <w:r w:rsidRPr="21CEFACA">
        <w:rPr>
          <w:lang w:val="en-GB"/>
        </w:rPr>
        <w:t>Letterkenny Institute of Technology</w:t>
      </w:r>
    </w:p>
    <w:p w14:paraId="6AA88331" w14:textId="402C1AAE" w:rsidR="12941B72" w:rsidRDefault="12941B72" w:rsidP="21CEFACA">
      <w:pPr>
        <w:rPr>
          <w:lang w:val="en-GB"/>
        </w:rPr>
      </w:pPr>
      <w:r w:rsidRPr="21CEFACA">
        <w:rPr>
          <w:lang w:val="en-GB"/>
        </w:rPr>
        <w:t>Limerick Institute of Technology</w:t>
      </w:r>
    </w:p>
    <w:p w14:paraId="608576E1" w14:textId="4983A451" w:rsidR="12941B72" w:rsidRDefault="12941B72" w:rsidP="21CEFACA">
      <w:pPr>
        <w:rPr>
          <w:lang w:val="en-GB"/>
        </w:rPr>
      </w:pPr>
      <w:r w:rsidRPr="21CEFACA">
        <w:rPr>
          <w:lang w:val="en-GB"/>
        </w:rPr>
        <w:t>Mary Immaculate College</w:t>
      </w:r>
    </w:p>
    <w:p w14:paraId="42709764" w14:textId="65AE36EB" w:rsidR="12941B72" w:rsidRDefault="12941B72" w:rsidP="21CEFACA">
      <w:pPr>
        <w:rPr>
          <w:lang w:val="en-GB"/>
        </w:rPr>
      </w:pPr>
      <w:r w:rsidRPr="21CEFACA">
        <w:rPr>
          <w:lang w:val="en-GB"/>
        </w:rPr>
        <w:t>Maynooth College</w:t>
      </w:r>
    </w:p>
    <w:p w14:paraId="69794600" w14:textId="58741218" w:rsidR="12941B72" w:rsidRDefault="12941B72" w:rsidP="21CEFACA">
      <w:pPr>
        <w:rPr>
          <w:lang w:val="en-GB"/>
        </w:rPr>
      </w:pPr>
      <w:r w:rsidRPr="21CEFACA">
        <w:rPr>
          <w:lang w:val="en-GB"/>
        </w:rPr>
        <w:t>Maynooth University</w:t>
      </w:r>
    </w:p>
    <w:p w14:paraId="19A29103" w14:textId="3D0C81EB" w:rsidR="12941B72" w:rsidRDefault="12941B72" w:rsidP="21CEFACA">
      <w:pPr>
        <w:rPr>
          <w:lang w:val="en-GB"/>
        </w:rPr>
      </w:pPr>
      <w:r w:rsidRPr="21CEFACA">
        <w:rPr>
          <w:lang w:val="en-GB"/>
        </w:rPr>
        <w:t>National College of Art and Design</w:t>
      </w:r>
    </w:p>
    <w:p w14:paraId="531FCF09" w14:textId="6BA52FBD" w:rsidR="12941B72" w:rsidRDefault="12941B72" w:rsidP="21CEFACA">
      <w:pPr>
        <w:rPr>
          <w:lang w:val="en-GB"/>
        </w:rPr>
      </w:pPr>
      <w:r w:rsidRPr="21CEFACA">
        <w:rPr>
          <w:lang w:val="en-GB"/>
        </w:rPr>
        <w:t>National College of Ireland</w:t>
      </w:r>
    </w:p>
    <w:p w14:paraId="6AA93000" w14:textId="7805CC72" w:rsidR="12941B72" w:rsidRDefault="12941B72" w:rsidP="21CEFACA">
      <w:pPr>
        <w:rPr>
          <w:lang w:val="en-GB"/>
        </w:rPr>
      </w:pPr>
      <w:r w:rsidRPr="21CEFACA">
        <w:rPr>
          <w:lang w:val="en-GB"/>
        </w:rPr>
        <w:t>National University of Ireland, Galway</w:t>
      </w:r>
    </w:p>
    <w:p w14:paraId="55E248ED" w14:textId="615D5D7A" w:rsidR="12941B72" w:rsidRDefault="12941B72" w:rsidP="21CEFACA">
      <w:pPr>
        <w:rPr>
          <w:lang w:val="en-GB"/>
        </w:rPr>
      </w:pPr>
      <w:r w:rsidRPr="21CEFACA">
        <w:rPr>
          <w:lang w:val="en-GB"/>
        </w:rPr>
        <w:t>Royal College of Surgeons in Ireland</w:t>
      </w:r>
    </w:p>
    <w:p w14:paraId="7663E62C" w14:textId="0E667A08" w:rsidR="12941B72" w:rsidRDefault="12941B72" w:rsidP="21CEFACA">
      <w:pPr>
        <w:rPr>
          <w:lang w:val="en-GB"/>
        </w:rPr>
      </w:pPr>
      <w:r w:rsidRPr="21CEFACA">
        <w:rPr>
          <w:lang w:val="en-GB"/>
        </w:rPr>
        <w:t>St. Angela’s College, Sligo</w:t>
      </w:r>
    </w:p>
    <w:p w14:paraId="3EABA724" w14:textId="32132EA7" w:rsidR="12941B72" w:rsidRDefault="12941B72" w:rsidP="21CEFACA">
      <w:pPr>
        <w:rPr>
          <w:lang w:val="en-GB"/>
        </w:rPr>
      </w:pPr>
      <w:r w:rsidRPr="21CEFACA">
        <w:rPr>
          <w:lang w:val="en-GB"/>
        </w:rPr>
        <w:t>Trinity College Dublin</w:t>
      </w:r>
    </w:p>
    <w:p w14:paraId="386C36C3" w14:textId="23D5FE53" w:rsidR="12941B72" w:rsidRDefault="12941B72" w:rsidP="21CEFACA">
      <w:pPr>
        <w:rPr>
          <w:lang w:val="en-GB"/>
        </w:rPr>
      </w:pPr>
      <w:r w:rsidRPr="21CEFACA">
        <w:rPr>
          <w:lang w:val="en-GB"/>
        </w:rPr>
        <w:t>Technological University Dublin</w:t>
      </w:r>
    </w:p>
    <w:p w14:paraId="1BD305D2" w14:textId="52906C84" w:rsidR="12941B72" w:rsidRDefault="12941B72" w:rsidP="21CEFACA">
      <w:pPr>
        <w:rPr>
          <w:lang w:val="en-GB"/>
        </w:rPr>
      </w:pPr>
      <w:r w:rsidRPr="21CEFACA">
        <w:rPr>
          <w:lang w:val="en-GB"/>
        </w:rPr>
        <w:t>University College Cork</w:t>
      </w:r>
    </w:p>
    <w:p w14:paraId="42BD1E2F" w14:textId="654DB992" w:rsidR="12941B72" w:rsidRDefault="12941B72" w:rsidP="21CEFACA">
      <w:pPr>
        <w:rPr>
          <w:lang w:val="en-GB"/>
        </w:rPr>
      </w:pPr>
      <w:r w:rsidRPr="21CEFACA">
        <w:rPr>
          <w:lang w:val="en-GB"/>
        </w:rPr>
        <w:t>University College Dublin</w:t>
      </w:r>
    </w:p>
    <w:p w14:paraId="398D1CE8" w14:textId="042B139F" w:rsidR="12941B72" w:rsidRDefault="12941B72" w:rsidP="21CEFACA">
      <w:pPr>
        <w:rPr>
          <w:lang w:val="en-GB"/>
        </w:rPr>
      </w:pPr>
      <w:r w:rsidRPr="21CEFACA">
        <w:rPr>
          <w:lang w:val="en-GB"/>
        </w:rPr>
        <w:t>University of Limerick</w:t>
      </w:r>
    </w:p>
    <w:p w14:paraId="7B81D6DF" w14:textId="46C47522" w:rsidR="574DD3A2" w:rsidRDefault="12941B72" w:rsidP="21CEFACA">
      <w:pPr>
        <w:rPr>
          <w:lang w:val="en-GB"/>
        </w:rPr>
      </w:pPr>
      <w:r w:rsidRPr="1F309B68">
        <w:rPr>
          <w:lang w:val="en-GB"/>
        </w:rPr>
        <w:t>Waterford Institute of Technology</w:t>
      </w:r>
    </w:p>
    <w:sectPr w:rsidR="574DD3A2">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F5A5D" w14:textId="77777777" w:rsidR="00D16F51" w:rsidRDefault="00D16F51" w:rsidP="00E44484">
      <w:pPr>
        <w:spacing w:after="0" w:line="240" w:lineRule="auto"/>
      </w:pPr>
      <w:r>
        <w:separator/>
      </w:r>
    </w:p>
  </w:endnote>
  <w:endnote w:type="continuationSeparator" w:id="0">
    <w:p w14:paraId="764A357A" w14:textId="77777777" w:rsidR="00D16F51" w:rsidRDefault="00D16F51" w:rsidP="00E44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93F18" w14:textId="77777777" w:rsidR="00655C09" w:rsidRDefault="00655C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63676" w14:textId="77777777" w:rsidR="00655C09" w:rsidRDefault="00655C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961F7" w14:textId="77777777" w:rsidR="00655C09" w:rsidRDefault="00655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C373E8" w14:textId="77777777" w:rsidR="00D16F51" w:rsidRDefault="00D16F51" w:rsidP="00E44484">
      <w:pPr>
        <w:spacing w:after="0" w:line="240" w:lineRule="auto"/>
      </w:pPr>
      <w:r>
        <w:separator/>
      </w:r>
    </w:p>
  </w:footnote>
  <w:footnote w:type="continuationSeparator" w:id="0">
    <w:p w14:paraId="6C25B3D4" w14:textId="77777777" w:rsidR="00D16F51" w:rsidRDefault="00D16F51" w:rsidP="00E44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3C7DD" w14:textId="77777777" w:rsidR="00655C09" w:rsidRDefault="00655C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8853607"/>
      <w:docPartObj>
        <w:docPartGallery w:val="Watermarks"/>
        <w:docPartUnique/>
      </w:docPartObj>
    </w:sdtPr>
    <w:sdtEndPr/>
    <w:sdtContent>
      <w:p w14:paraId="6070A79F" w14:textId="55528B79" w:rsidR="00655C09" w:rsidRDefault="00D16F51">
        <w:pPr>
          <w:pStyle w:val="Header"/>
        </w:pPr>
        <w:r>
          <w:rPr>
            <w:noProof/>
          </w:rPr>
          <w:pict w14:anchorId="7FC72D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FC17E" w14:textId="77777777" w:rsidR="00655C09" w:rsidRDefault="00655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A5344"/>
    <w:multiLevelType w:val="hybridMultilevel"/>
    <w:tmpl w:val="192022B2"/>
    <w:lvl w:ilvl="0" w:tplc="684ECDC6">
      <w:start w:val="1"/>
      <w:numFmt w:val="decimal"/>
      <w:lvlText w:val="%1."/>
      <w:lvlJc w:val="left"/>
      <w:pPr>
        <w:ind w:left="720" w:hanging="360"/>
      </w:pPr>
    </w:lvl>
    <w:lvl w:ilvl="1" w:tplc="D2C6AE98">
      <w:start w:val="1"/>
      <w:numFmt w:val="lowerLetter"/>
      <w:lvlText w:val="%2."/>
      <w:lvlJc w:val="left"/>
      <w:pPr>
        <w:ind w:left="1440" w:hanging="360"/>
      </w:pPr>
    </w:lvl>
    <w:lvl w:ilvl="2" w:tplc="6A98CEC4">
      <w:start w:val="1"/>
      <w:numFmt w:val="lowerRoman"/>
      <w:lvlText w:val="%3."/>
      <w:lvlJc w:val="right"/>
      <w:pPr>
        <w:ind w:left="2160" w:hanging="180"/>
      </w:pPr>
    </w:lvl>
    <w:lvl w:ilvl="3" w:tplc="E0F6EBE2">
      <w:start w:val="1"/>
      <w:numFmt w:val="decimal"/>
      <w:lvlText w:val="%4."/>
      <w:lvlJc w:val="left"/>
      <w:pPr>
        <w:ind w:left="2880" w:hanging="360"/>
      </w:pPr>
    </w:lvl>
    <w:lvl w:ilvl="4" w:tplc="D6203C28">
      <w:start w:val="1"/>
      <w:numFmt w:val="lowerLetter"/>
      <w:lvlText w:val="%5."/>
      <w:lvlJc w:val="left"/>
      <w:pPr>
        <w:ind w:left="3600" w:hanging="360"/>
      </w:pPr>
    </w:lvl>
    <w:lvl w:ilvl="5" w:tplc="3B0A4142">
      <w:start w:val="1"/>
      <w:numFmt w:val="lowerRoman"/>
      <w:lvlText w:val="%6."/>
      <w:lvlJc w:val="right"/>
      <w:pPr>
        <w:ind w:left="4320" w:hanging="180"/>
      </w:pPr>
    </w:lvl>
    <w:lvl w:ilvl="6" w:tplc="FE6E6CF6">
      <w:start w:val="1"/>
      <w:numFmt w:val="decimal"/>
      <w:lvlText w:val="%7."/>
      <w:lvlJc w:val="left"/>
      <w:pPr>
        <w:ind w:left="5040" w:hanging="360"/>
      </w:pPr>
    </w:lvl>
    <w:lvl w:ilvl="7" w:tplc="868AECD6">
      <w:start w:val="1"/>
      <w:numFmt w:val="lowerLetter"/>
      <w:lvlText w:val="%8."/>
      <w:lvlJc w:val="left"/>
      <w:pPr>
        <w:ind w:left="5760" w:hanging="360"/>
      </w:pPr>
    </w:lvl>
    <w:lvl w:ilvl="8" w:tplc="53241584">
      <w:start w:val="1"/>
      <w:numFmt w:val="lowerRoman"/>
      <w:lvlText w:val="%9."/>
      <w:lvlJc w:val="right"/>
      <w:pPr>
        <w:ind w:left="6480" w:hanging="180"/>
      </w:pPr>
    </w:lvl>
  </w:abstractNum>
  <w:abstractNum w:abstractNumId="1" w15:restartNumberingAfterBreak="0">
    <w:nsid w:val="44D8655E"/>
    <w:multiLevelType w:val="hybridMultilevel"/>
    <w:tmpl w:val="20DC05DC"/>
    <w:lvl w:ilvl="0" w:tplc="2B4EA648">
      <w:start w:val="1"/>
      <w:numFmt w:val="bullet"/>
      <w:lvlText w:val=""/>
      <w:lvlJc w:val="left"/>
      <w:pPr>
        <w:ind w:left="720" w:hanging="360"/>
      </w:pPr>
      <w:rPr>
        <w:rFonts w:ascii="Symbol" w:hAnsi="Symbol" w:hint="default"/>
      </w:rPr>
    </w:lvl>
    <w:lvl w:ilvl="1" w:tplc="9F62F8BE">
      <w:start w:val="1"/>
      <w:numFmt w:val="bullet"/>
      <w:lvlText w:val="o"/>
      <w:lvlJc w:val="left"/>
      <w:pPr>
        <w:ind w:left="1440" w:hanging="360"/>
      </w:pPr>
      <w:rPr>
        <w:rFonts w:ascii="Courier New" w:hAnsi="Courier New" w:hint="default"/>
      </w:rPr>
    </w:lvl>
    <w:lvl w:ilvl="2" w:tplc="40186A76">
      <w:start w:val="1"/>
      <w:numFmt w:val="bullet"/>
      <w:lvlText w:val=""/>
      <w:lvlJc w:val="left"/>
      <w:pPr>
        <w:ind w:left="2160" w:hanging="360"/>
      </w:pPr>
      <w:rPr>
        <w:rFonts w:ascii="Wingdings" w:hAnsi="Wingdings" w:hint="default"/>
      </w:rPr>
    </w:lvl>
    <w:lvl w:ilvl="3" w:tplc="8C92208C">
      <w:start w:val="1"/>
      <w:numFmt w:val="bullet"/>
      <w:lvlText w:val=""/>
      <w:lvlJc w:val="left"/>
      <w:pPr>
        <w:ind w:left="2880" w:hanging="360"/>
      </w:pPr>
      <w:rPr>
        <w:rFonts w:ascii="Symbol" w:hAnsi="Symbol" w:hint="default"/>
      </w:rPr>
    </w:lvl>
    <w:lvl w:ilvl="4" w:tplc="0A92D29C">
      <w:start w:val="1"/>
      <w:numFmt w:val="bullet"/>
      <w:lvlText w:val="o"/>
      <w:lvlJc w:val="left"/>
      <w:pPr>
        <w:ind w:left="3600" w:hanging="360"/>
      </w:pPr>
      <w:rPr>
        <w:rFonts w:ascii="Courier New" w:hAnsi="Courier New" w:hint="default"/>
      </w:rPr>
    </w:lvl>
    <w:lvl w:ilvl="5" w:tplc="614C34D4">
      <w:start w:val="1"/>
      <w:numFmt w:val="bullet"/>
      <w:lvlText w:val=""/>
      <w:lvlJc w:val="left"/>
      <w:pPr>
        <w:ind w:left="4320" w:hanging="360"/>
      </w:pPr>
      <w:rPr>
        <w:rFonts w:ascii="Wingdings" w:hAnsi="Wingdings" w:hint="default"/>
      </w:rPr>
    </w:lvl>
    <w:lvl w:ilvl="6" w:tplc="2D7EAD08">
      <w:start w:val="1"/>
      <w:numFmt w:val="bullet"/>
      <w:lvlText w:val=""/>
      <w:lvlJc w:val="left"/>
      <w:pPr>
        <w:ind w:left="5040" w:hanging="360"/>
      </w:pPr>
      <w:rPr>
        <w:rFonts w:ascii="Symbol" w:hAnsi="Symbol" w:hint="default"/>
      </w:rPr>
    </w:lvl>
    <w:lvl w:ilvl="7" w:tplc="77AC83A8">
      <w:start w:val="1"/>
      <w:numFmt w:val="bullet"/>
      <w:lvlText w:val="o"/>
      <w:lvlJc w:val="left"/>
      <w:pPr>
        <w:ind w:left="5760" w:hanging="360"/>
      </w:pPr>
      <w:rPr>
        <w:rFonts w:ascii="Courier New" w:hAnsi="Courier New" w:hint="default"/>
      </w:rPr>
    </w:lvl>
    <w:lvl w:ilvl="8" w:tplc="66AAF01A">
      <w:start w:val="1"/>
      <w:numFmt w:val="bullet"/>
      <w:lvlText w:val=""/>
      <w:lvlJc w:val="left"/>
      <w:pPr>
        <w:ind w:left="6480" w:hanging="360"/>
      </w:pPr>
      <w:rPr>
        <w:rFonts w:ascii="Wingdings" w:hAnsi="Wingdings" w:hint="default"/>
      </w:rPr>
    </w:lvl>
  </w:abstractNum>
  <w:abstractNum w:abstractNumId="2" w15:restartNumberingAfterBreak="0">
    <w:nsid w:val="4F3903CC"/>
    <w:multiLevelType w:val="hybridMultilevel"/>
    <w:tmpl w:val="D632B30E"/>
    <w:lvl w:ilvl="0" w:tplc="A76E9EC2">
      <w:start w:val="1"/>
      <w:numFmt w:val="bullet"/>
      <w:lvlText w:val=""/>
      <w:lvlJc w:val="left"/>
      <w:pPr>
        <w:ind w:left="720" w:hanging="360"/>
      </w:pPr>
      <w:rPr>
        <w:rFonts w:ascii="Symbol" w:hAnsi="Symbol" w:hint="default"/>
      </w:rPr>
    </w:lvl>
    <w:lvl w:ilvl="1" w:tplc="E8DA8BAA">
      <w:start w:val="1"/>
      <w:numFmt w:val="bullet"/>
      <w:lvlText w:val="o"/>
      <w:lvlJc w:val="left"/>
      <w:pPr>
        <w:ind w:left="1440" w:hanging="360"/>
      </w:pPr>
      <w:rPr>
        <w:rFonts w:ascii="Courier New" w:hAnsi="Courier New" w:hint="default"/>
      </w:rPr>
    </w:lvl>
    <w:lvl w:ilvl="2" w:tplc="8AFC748E">
      <w:start w:val="1"/>
      <w:numFmt w:val="bullet"/>
      <w:lvlText w:val=""/>
      <w:lvlJc w:val="left"/>
      <w:pPr>
        <w:ind w:left="2160" w:hanging="360"/>
      </w:pPr>
      <w:rPr>
        <w:rFonts w:ascii="Wingdings" w:hAnsi="Wingdings" w:hint="default"/>
      </w:rPr>
    </w:lvl>
    <w:lvl w:ilvl="3" w:tplc="FBE66D04">
      <w:start w:val="1"/>
      <w:numFmt w:val="bullet"/>
      <w:lvlText w:val=""/>
      <w:lvlJc w:val="left"/>
      <w:pPr>
        <w:ind w:left="2880" w:hanging="360"/>
      </w:pPr>
      <w:rPr>
        <w:rFonts w:ascii="Symbol" w:hAnsi="Symbol" w:hint="default"/>
      </w:rPr>
    </w:lvl>
    <w:lvl w:ilvl="4" w:tplc="928EB5D4">
      <w:start w:val="1"/>
      <w:numFmt w:val="bullet"/>
      <w:lvlText w:val="o"/>
      <w:lvlJc w:val="left"/>
      <w:pPr>
        <w:ind w:left="3600" w:hanging="360"/>
      </w:pPr>
      <w:rPr>
        <w:rFonts w:ascii="Courier New" w:hAnsi="Courier New" w:hint="default"/>
      </w:rPr>
    </w:lvl>
    <w:lvl w:ilvl="5" w:tplc="38B4BDB6">
      <w:start w:val="1"/>
      <w:numFmt w:val="bullet"/>
      <w:lvlText w:val=""/>
      <w:lvlJc w:val="left"/>
      <w:pPr>
        <w:ind w:left="4320" w:hanging="360"/>
      </w:pPr>
      <w:rPr>
        <w:rFonts w:ascii="Wingdings" w:hAnsi="Wingdings" w:hint="default"/>
      </w:rPr>
    </w:lvl>
    <w:lvl w:ilvl="6" w:tplc="A7501052">
      <w:start w:val="1"/>
      <w:numFmt w:val="bullet"/>
      <w:lvlText w:val=""/>
      <w:lvlJc w:val="left"/>
      <w:pPr>
        <w:ind w:left="5040" w:hanging="360"/>
      </w:pPr>
      <w:rPr>
        <w:rFonts w:ascii="Symbol" w:hAnsi="Symbol" w:hint="default"/>
      </w:rPr>
    </w:lvl>
    <w:lvl w:ilvl="7" w:tplc="86665CDA">
      <w:start w:val="1"/>
      <w:numFmt w:val="bullet"/>
      <w:lvlText w:val="o"/>
      <w:lvlJc w:val="left"/>
      <w:pPr>
        <w:ind w:left="5760" w:hanging="360"/>
      </w:pPr>
      <w:rPr>
        <w:rFonts w:ascii="Courier New" w:hAnsi="Courier New" w:hint="default"/>
      </w:rPr>
    </w:lvl>
    <w:lvl w:ilvl="8" w:tplc="753AD2A8">
      <w:start w:val="1"/>
      <w:numFmt w:val="bullet"/>
      <w:lvlText w:val=""/>
      <w:lvlJc w:val="left"/>
      <w:pPr>
        <w:ind w:left="6480" w:hanging="360"/>
      </w:pPr>
      <w:rPr>
        <w:rFonts w:ascii="Wingdings" w:hAnsi="Wingdings" w:hint="default"/>
      </w:rPr>
    </w:lvl>
  </w:abstractNum>
  <w:abstractNum w:abstractNumId="3" w15:restartNumberingAfterBreak="0">
    <w:nsid w:val="572E40F8"/>
    <w:multiLevelType w:val="hybridMultilevel"/>
    <w:tmpl w:val="7646B5DA"/>
    <w:lvl w:ilvl="0" w:tplc="EC3446EC">
      <w:start w:val="1"/>
      <w:numFmt w:val="bullet"/>
      <w:lvlText w:val=""/>
      <w:lvlJc w:val="left"/>
      <w:pPr>
        <w:ind w:left="720" w:hanging="360"/>
      </w:pPr>
      <w:rPr>
        <w:rFonts w:ascii="Symbol" w:hAnsi="Symbol" w:hint="default"/>
      </w:rPr>
    </w:lvl>
    <w:lvl w:ilvl="1" w:tplc="5F605A3C">
      <w:start w:val="1"/>
      <w:numFmt w:val="bullet"/>
      <w:lvlText w:val="o"/>
      <w:lvlJc w:val="left"/>
      <w:pPr>
        <w:ind w:left="1440" w:hanging="360"/>
      </w:pPr>
      <w:rPr>
        <w:rFonts w:ascii="Courier New" w:hAnsi="Courier New" w:hint="default"/>
      </w:rPr>
    </w:lvl>
    <w:lvl w:ilvl="2" w:tplc="3BD857C8">
      <w:start w:val="1"/>
      <w:numFmt w:val="bullet"/>
      <w:lvlText w:val=""/>
      <w:lvlJc w:val="left"/>
      <w:pPr>
        <w:ind w:left="2160" w:hanging="360"/>
      </w:pPr>
      <w:rPr>
        <w:rFonts w:ascii="Wingdings" w:hAnsi="Wingdings" w:hint="default"/>
      </w:rPr>
    </w:lvl>
    <w:lvl w:ilvl="3" w:tplc="19D8F11E">
      <w:start w:val="1"/>
      <w:numFmt w:val="bullet"/>
      <w:lvlText w:val=""/>
      <w:lvlJc w:val="left"/>
      <w:pPr>
        <w:ind w:left="2880" w:hanging="360"/>
      </w:pPr>
      <w:rPr>
        <w:rFonts w:ascii="Symbol" w:hAnsi="Symbol" w:hint="default"/>
      </w:rPr>
    </w:lvl>
    <w:lvl w:ilvl="4" w:tplc="BAD8A1A4">
      <w:start w:val="1"/>
      <w:numFmt w:val="bullet"/>
      <w:lvlText w:val="o"/>
      <w:lvlJc w:val="left"/>
      <w:pPr>
        <w:ind w:left="3600" w:hanging="360"/>
      </w:pPr>
      <w:rPr>
        <w:rFonts w:ascii="Courier New" w:hAnsi="Courier New" w:hint="default"/>
      </w:rPr>
    </w:lvl>
    <w:lvl w:ilvl="5" w:tplc="78780DDC">
      <w:start w:val="1"/>
      <w:numFmt w:val="bullet"/>
      <w:lvlText w:val=""/>
      <w:lvlJc w:val="left"/>
      <w:pPr>
        <w:ind w:left="4320" w:hanging="360"/>
      </w:pPr>
      <w:rPr>
        <w:rFonts w:ascii="Wingdings" w:hAnsi="Wingdings" w:hint="default"/>
      </w:rPr>
    </w:lvl>
    <w:lvl w:ilvl="6" w:tplc="2EDAB8E2">
      <w:start w:val="1"/>
      <w:numFmt w:val="bullet"/>
      <w:lvlText w:val=""/>
      <w:lvlJc w:val="left"/>
      <w:pPr>
        <w:ind w:left="5040" w:hanging="360"/>
      </w:pPr>
      <w:rPr>
        <w:rFonts w:ascii="Symbol" w:hAnsi="Symbol" w:hint="default"/>
      </w:rPr>
    </w:lvl>
    <w:lvl w:ilvl="7" w:tplc="5A026200">
      <w:start w:val="1"/>
      <w:numFmt w:val="bullet"/>
      <w:lvlText w:val="o"/>
      <w:lvlJc w:val="left"/>
      <w:pPr>
        <w:ind w:left="5760" w:hanging="360"/>
      </w:pPr>
      <w:rPr>
        <w:rFonts w:ascii="Courier New" w:hAnsi="Courier New" w:hint="default"/>
      </w:rPr>
    </w:lvl>
    <w:lvl w:ilvl="8" w:tplc="11E27538">
      <w:start w:val="1"/>
      <w:numFmt w:val="bullet"/>
      <w:lvlText w:val=""/>
      <w:lvlJc w:val="left"/>
      <w:pPr>
        <w:ind w:left="6480" w:hanging="360"/>
      </w:pPr>
      <w:rPr>
        <w:rFonts w:ascii="Wingdings" w:hAnsi="Wingdings" w:hint="default"/>
      </w:rPr>
    </w:lvl>
  </w:abstractNum>
  <w:abstractNum w:abstractNumId="4" w15:restartNumberingAfterBreak="0">
    <w:nsid w:val="67EB79C5"/>
    <w:multiLevelType w:val="hybridMultilevel"/>
    <w:tmpl w:val="AA6C688C"/>
    <w:lvl w:ilvl="0" w:tplc="2484253E">
      <w:start w:val="1"/>
      <w:numFmt w:val="bullet"/>
      <w:lvlText w:val=""/>
      <w:lvlJc w:val="left"/>
      <w:pPr>
        <w:ind w:left="720" w:hanging="360"/>
      </w:pPr>
      <w:rPr>
        <w:rFonts w:ascii="Symbol" w:hAnsi="Symbol" w:hint="default"/>
      </w:rPr>
    </w:lvl>
    <w:lvl w:ilvl="1" w:tplc="35508AD8">
      <w:start w:val="1"/>
      <w:numFmt w:val="bullet"/>
      <w:lvlText w:val="o"/>
      <w:lvlJc w:val="left"/>
      <w:pPr>
        <w:ind w:left="1440" w:hanging="360"/>
      </w:pPr>
      <w:rPr>
        <w:rFonts w:ascii="Courier New" w:hAnsi="Courier New" w:hint="default"/>
      </w:rPr>
    </w:lvl>
    <w:lvl w:ilvl="2" w:tplc="FFC4A3D8">
      <w:start w:val="1"/>
      <w:numFmt w:val="bullet"/>
      <w:lvlText w:val=""/>
      <w:lvlJc w:val="left"/>
      <w:pPr>
        <w:ind w:left="2160" w:hanging="360"/>
      </w:pPr>
      <w:rPr>
        <w:rFonts w:ascii="Wingdings" w:hAnsi="Wingdings" w:hint="default"/>
      </w:rPr>
    </w:lvl>
    <w:lvl w:ilvl="3" w:tplc="15E0848E">
      <w:start w:val="1"/>
      <w:numFmt w:val="bullet"/>
      <w:lvlText w:val=""/>
      <w:lvlJc w:val="left"/>
      <w:pPr>
        <w:ind w:left="2880" w:hanging="360"/>
      </w:pPr>
      <w:rPr>
        <w:rFonts w:ascii="Symbol" w:hAnsi="Symbol" w:hint="default"/>
      </w:rPr>
    </w:lvl>
    <w:lvl w:ilvl="4" w:tplc="D4A083A0">
      <w:start w:val="1"/>
      <w:numFmt w:val="bullet"/>
      <w:lvlText w:val="o"/>
      <w:lvlJc w:val="left"/>
      <w:pPr>
        <w:ind w:left="3600" w:hanging="360"/>
      </w:pPr>
      <w:rPr>
        <w:rFonts w:ascii="Courier New" w:hAnsi="Courier New" w:hint="default"/>
      </w:rPr>
    </w:lvl>
    <w:lvl w:ilvl="5" w:tplc="064AA38C">
      <w:start w:val="1"/>
      <w:numFmt w:val="bullet"/>
      <w:lvlText w:val=""/>
      <w:lvlJc w:val="left"/>
      <w:pPr>
        <w:ind w:left="4320" w:hanging="360"/>
      </w:pPr>
      <w:rPr>
        <w:rFonts w:ascii="Wingdings" w:hAnsi="Wingdings" w:hint="default"/>
      </w:rPr>
    </w:lvl>
    <w:lvl w:ilvl="6" w:tplc="C540D312">
      <w:start w:val="1"/>
      <w:numFmt w:val="bullet"/>
      <w:lvlText w:val=""/>
      <w:lvlJc w:val="left"/>
      <w:pPr>
        <w:ind w:left="5040" w:hanging="360"/>
      </w:pPr>
      <w:rPr>
        <w:rFonts w:ascii="Symbol" w:hAnsi="Symbol" w:hint="default"/>
      </w:rPr>
    </w:lvl>
    <w:lvl w:ilvl="7" w:tplc="002E3E30">
      <w:start w:val="1"/>
      <w:numFmt w:val="bullet"/>
      <w:lvlText w:val="o"/>
      <w:lvlJc w:val="left"/>
      <w:pPr>
        <w:ind w:left="5760" w:hanging="360"/>
      </w:pPr>
      <w:rPr>
        <w:rFonts w:ascii="Courier New" w:hAnsi="Courier New" w:hint="default"/>
      </w:rPr>
    </w:lvl>
    <w:lvl w:ilvl="8" w:tplc="4BDCA184">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5C0A86"/>
    <w:rsid w:val="00004A82"/>
    <w:rsid w:val="000F015B"/>
    <w:rsid w:val="002C6C03"/>
    <w:rsid w:val="00655C09"/>
    <w:rsid w:val="00706D05"/>
    <w:rsid w:val="00A95A35"/>
    <w:rsid w:val="00B004A3"/>
    <w:rsid w:val="00B51FBB"/>
    <w:rsid w:val="00B63A91"/>
    <w:rsid w:val="00D16F51"/>
    <w:rsid w:val="00D72840"/>
    <w:rsid w:val="00E44484"/>
    <w:rsid w:val="00E877D7"/>
    <w:rsid w:val="00EC5A89"/>
    <w:rsid w:val="00F607FB"/>
    <w:rsid w:val="039B0338"/>
    <w:rsid w:val="039F9E94"/>
    <w:rsid w:val="04894A4D"/>
    <w:rsid w:val="04A49C71"/>
    <w:rsid w:val="05338945"/>
    <w:rsid w:val="05EE0F32"/>
    <w:rsid w:val="0662F319"/>
    <w:rsid w:val="077BB6B7"/>
    <w:rsid w:val="078D674A"/>
    <w:rsid w:val="07A62EE5"/>
    <w:rsid w:val="07BBA7DF"/>
    <w:rsid w:val="08134D8B"/>
    <w:rsid w:val="0896E813"/>
    <w:rsid w:val="089D138A"/>
    <w:rsid w:val="08A74284"/>
    <w:rsid w:val="08E68FD7"/>
    <w:rsid w:val="092954D7"/>
    <w:rsid w:val="09B7A653"/>
    <w:rsid w:val="09C1E98D"/>
    <w:rsid w:val="0A4C448F"/>
    <w:rsid w:val="0B174ADB"/>
    <w:rsid w:val="0B39F1D3"/>
    <w:rsid w:val="0B680CD1"/>
    <w:rsid w:val="0B7CBF88"/>
    <w:rsid w:val="0BAE136C"/>
    <w:rsid w:val="0BBD32EC"/>
    <w:rsid w:val="0C6A2B6A"/>
    <w:rsid w:val="0D76A7FD"/>
    <w:rsid w:val="0DA9AE1D"/>
    <w:rsid w:val="0DBEA24B"/>
    <w:rsid w:val="0DDD943B"/>
    <w:rsid w:val="0E18ED63"/>
    <w:rsid w:val="0E2FFF44"/>
    <w:rsid w:val="0E6270E5"/>
    <w:rsid w:val="0E8570EF"/>
    <w:rsid w:val="0EA4DF27"/>
    <w:rsid w:val="0F303FCD"/>
    <w:rsid w:val="0F32A9DE"/>
    <w:rsid w:val="0F8ADEA7"/>
    <w:rsid w:val="0FA09375"/>
    <w:rsid w:val="1008E8E6"/>
    <w:rsid w:val="10A45EB1"/>
    <w:rsid w:val="10B0B880"/>
    <w:rsid w:val="10B36E75"/>
    <w:rsid w:val="10D8EA31"/>
    <w:rsid w:val="1214F627"/>
    <w:rsid w:val="12691D08"/>
    <w:rsid w:val="12941B72"/>
    <w:rsid w:val="1299EF7F"/>
    <w:rsid w:val="1301A817"/>
    <w:rsid w:val="1465F8D7"/>
    <w:rsid w:val="14889DE8"/>
    <w:rsid w:val="148B6E15"/>
    <w:rsid w:val="149EF775"/>
    <w:rsid w:val="15005052"/>
    <w:rsid w:val="1580E739"/>
    <w:rsid w:val="165F344C"/>
    <w:rsid w:val="16BD8595"/>
    <w:rsid w:val="1A2373B2"/>
    <w:rsid w:val="1A8163A1"/>
    <w:rsid w:val="1BE661CA"/>
    <w:rsid w:val="1C777405"/>
    <w:rsid w:val="1DC662F5"/>
    <w:rsid w:val="1DC6FE47"/>
    <w:rsid w:val="1E833DE9"/>
    <w:rsid w:val="1E9827E8"/>
    <w:rsid w:val="1ED38916"/>
    <w:rsid w:val="1EED6D2F"/>
    <w:rsid w:val="1F309B68"/>
    <w:rsid w:val="1FDE7D69"/>
    <w:rsid w:val="2027FE40"/>
    <w:rsid w:val="20971763"/>
    <w:rsid w:val="20DD0B75"/>
    <w:rsid w:val="213BFA06"/>
    <w:rsid w:val="21CEFACA"/>
    <w:rsid w:val="226542A8"/>
    <w:rsid w:val="229C09BE"/>
    <w:rsid w:val="22A2F468"/>
    <w:rsid w:val="23766470"/>
    <w:rsid w:val="23A23679"/>
    <w:rsid w:val="23A69A1D"/>
    <w:rsid w:val="2410A421"/>
    <w:rsid w:val="242504F4"/>
    <w:rsid w:val="247DB629"/>
    <w:rsid w:val="24D59386"/>
    <w:rsid w:val="252F7C39"/>
    <w:rsid w:val="258DEC98"/>
    <w:rsid w:val="25C95161"/>
    <w:rsid w:val="2648666E"/>
    <w:rsid w:val="26FE8643"/>
    <w:rsid w:val="2700DC19"/>
    <w:rsid w:val="275298D2"/>
    <w:rsid w:val="275CF3C6"/>
    <w:rsid w:val="2762FE93"/>
    <w:rsid w:val="284C4292"/>
    <w:rsid w:val="2ACA0F47"/>
    <w:rsid w:val="2C84F757"/>
    <w:rsid w:val="2CB6C5DB"/>
    <w:rsid w:val="2CC0704E"/>
    <w:rsid w:val="2D3D2B42"/>
    <w:rsid w:val="2D6A79F7"/>
    <w:rsid w:val="2D89AEF8"/>
    <w:rsid w:val="2DA663CC"/>
    <w:rsid w:val="2E66B97A"/>
    <w:rsid w:val="2E8CFAF2"/>
    <w:rsid w:val="2F45B4E5"/>
    <w:rsid w:val="2F9DEB55"/>
    <w:rsid w:val="2FC7AE0F"/>
    <w:rsid w:val="30244D83"/>
    <w:rsid w:val="304E2B89"/>
    <w:rsid w:val="30BB0687"/>
    <w:rsid w:val="3155D52D"/>
    <w:rsid w:val="316796D7"/>
    <w:rsid w:val="3167F497"/>
    <w:rsid w:val="31BEFCB1"/>
    <w:rsid w:val="31C4200F"/>
    <w:rsid w:val="32620B38"/>
    <w:rsid w:val="32F8F009"/>
    <w:rsid w:val="352E7188"/>
    <w:rsid w:val="35332250"/>
    <w:rsid w:val="35B201ED"/>
    <w:rsid w:val="35BA9F3A"/>
    <w:rsid w:val="3690A984"/>
    <w:rsid w:val="36F129F5"/>
    <w:rsid w:val="37005663"/>
    <w:rsid w:val="37A9C12B"/>
    <w:rsid w:val="37ADB7FF"/>
    <w:rsid w:val="37D57D33"/>
    <w:rsid w:val="38144D73"/>
    <w:rsid w:val="3857663D"/>
    <w:rsid w:val="38E69EDA"/>
    <w:rsid w:val="3909171D"/>
    <w:rsid w:val="395D2473"/>
    <w:rsid w:val="3979B95D"/>
    <w:rsid w:val="398C3FA5"/>
    <w:rsid w:val="3992F7F2"/>
    <w:rsid w:val="39A5C2AD"/>
    <w:rsid w:val="3B1689D8"/>
    <w:rsid w:val="3BCAE2B6"/>
    <w:rsid w:val="3C2CAEF9"/>
    <w:rsid w:val="3E7288EE"/>
    <w:rsid w:val="3ED0365A"/>
    <w:rsid w:val="40482C51"/>
    <w:rsid w:val="408359A8"/>
    <w:rsid w:val="40DB9148"/>
    <w:rsid w:val="40E9AE54"/>
    <w:rsid w:val="41A5B546"/>
    <w:rsid w:val="41C36F8B"/>
    <w:rsid w:val="421717BF"/>
    <w:rsid w:val="42A8AF9E"/>
    <w:rsid w:val="430011E9"/>
    <w:rsid w:val="430595FC"/>
    <w:rsid w:val="433B8C3A"/>
    <w:rsid w:val="443A3A0A"/>
    <w:rsid w:val="4463E100"/>
    <w:rsid w:val="44F833B7"/>
    <w:rsid w:val="44FA5710"/>
    <w:rsid w:val="4506445F"/>
    <w:rsid w:val="46E7DC29"/>
    <w:rsid w:val="46FF1102"/>
    <w:rsid w:val="475A43C4"/>
    <w:rsid w:val="477F54BB"/>
    <w:rsid w:val="4846814A"/>
    <w:rsid w:val="48AB451C"/>
    <w:rsid w:val="49EFA28F"/>
    <w:rsid w:val="4A341401"/>
    <w:rsid w:val="4A6DA60F"/>
    <w:rsid w:val="4B0AAC20"/>
    <w:rsid w:val="4C887995"/>
    <w:rsid w:val="4CE5F5D6"/>
    <w:rsid w:val="4D3F09ED"/>
    <w:rsid w:val="4DDB061E"/>
    <w:rsid w:val="4E0CFD33"/>
    <w:rsid w:val="4E394D12"/>
    <w:rsid w:val="4E6ADDA4"/>
    <w:rsid w:val="4EDAD5DA"/>
    <w:rsid w:val="4EDB0D1F"/>
    <w:rsid w:val="4F5CE639"/>
    <w:rsid w:val="5042995D"/>
    <w:rsid w:val="507B2615"/>
    <w:rsid w:val="50AA65D3"/>
    <w:rsid w:val="51CF0381"/>
    <w:rsid w:val="52587EDA"/>
    <w:rsid w:val="529F04D4"/>
    <w:rsid w:val="52CFD989"/>
    <w:rsid w:val="52E348F1"/>
    <w:rsid w:val="53050CCC"/>
    <w:rsid w:val="54157106"/>
    <w:rsid w:val="54F1F4DB"/>
    <w:rsid w:val="54F739E0"/>
    <w:rsid w:val="5589FFFE"/>
    <w:rsid w:val="55F47D25"/>
    <w:rsid w:val="561DBC5D"/>
    <w:rsid w:val="56B6C022"/>
    <w:rsid w:val="56E75954"/>
    <w:rsid w:val="574DD3A2"/>
    <w:rsid w:val="5991F1F4"/>
    <w:rsid w:val="59A34657"/>
    <w:rsid w:val="5A1798A8"/>
    <w:rsid w:val="5AD04DFF"/>
    <w:rsid w:val="5B0324C2"/>
    <w:rsid w:val="5B709D29"/>
    <w:rsid w:val="5C7544BE"/>
    <w:rsid w:val="5CA4741B"/>
    <w:rsid w:val="5CDA8C97"/>
    <w:rsid w:val="5D528254"/>
    <w:rsid w:val="5E404458"/>
    <w:rsid w:val="5E7896EF"/>
    <w:rsid w:val="5F87A5CF"/>
    <w:rsid w:val="62711E05"/>
    <w:rsid w:val="627BDA18"/>
    <w:rsid w:val="640AF022"/>
    <w:rsid w:val="6417AE1A"/>
    <w:rsid w:val="64B9D1CB"/>
    <w:rsid w:val="64DA1520"/>
    <w:rsid w:val="655D980D"/>
    <w:rsid w:val="657276B1"/>
    <w:rsid w:val="65AA077B"/>
    <w:rsid w:val="6655DFBF"/>
    <w:rsid w:val="66F156F0"/>
    <w:rsid w:val="67059AC0"/>
    <w:rsid w:val="673CE9AA"/>
    <w:rsid w:val="681B1CB5"/>
    <w:rsid w:val="695C0A86"/>
    <w:rsid w:val="697FE70B"/>
    <w:rsid w:val="6A19001E"/>
    <w:rsid w:val="6C464E94"/>
    <w:rsid w:val="6D19A93A"/>
    <w:rsid w:val="6D3AB658"/>
    <w:rsid w:val="6E13F94D"/>
    <w:rsid w:val="6E86E6F7"/>
    <w:rsid w:val="6F79CAFB"/>
    <w:rsid w:val="6FECCCF6"/>
    <w:rsid w:val="70215692"/>
    <w:rsid w:val="7118A7FE"/>
    <w:rsid w:val="71D74733"/>
    <w:rsid w:val="72071B39"/>
    <w:rsid w:val="72295D8B"/>
    <w:rsid w:val="726EE754"/>
    <w:rsid w:val="72D52ED8"/>
    <w:rsid w:val="72FEA61B"/>
    <w:rsid w:val="74D5FD37"/>
    <w:rsid w:val="75525B1A"/>
    <w:rsid w:val="777256F6"/>
    <w:rsid w:val="77DB01AC"/>
    <w:rsid w:val="791C86AB"/>
    <w:rsid w:val="791CE0BD"/>
    <w:rsid w:val="79A806AD"/>
    <w:rsid w:val="79B8D895"/>
    <w:rsid w:val="79C5DAF8"/>
    <w:rsid w:val="7A0FFCE6"/>
    <w:rsid w:val="7A5FDB32"/>
    <w:rsid w:val="7A68E697"/>
    <w:rsid w:val="7A7D98B4"/>
    <w:rsid w:val="7B7D9A17"/>
    <w:rsid w:val="7BD25ED2"/>
    <w:rsid w:val="7CA6874B"/>
    <w:rsid w:val="7D261886"/>
    <w:rsid w:val="7D482D56"/>
    <w:rsid w:val="7D495947"/>
    <w:rsid w:val="7E7D30F9"/>
    <w:rsid w:val="7FBF4E57"/>
    <w:rsid w:val="7FEE23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5C0A86"/>
  <w15:chartTrackingRefBased/>
  <w15:docId w15:val="{A3C8FDE8-EC3A-43A0-B597-0F76679D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E877D7"/>
    <w:rPr>
      <w:sz w:val="16"/>
      <w:szCs w:val="16"/>
    </w:rPr>
  </w:style>
  <w:style w:type="paragraph" w:styleId="CommentText">
    <w:name w:val="annotation text"/>
    <w:basedOn w:val="Normal"/>
    <w:link w:val="CommentTextChar"/>
    <w:uiPriority w:val="99"/>
    <w:semiHidden/>
    <w:unhideWhenUsed/>
    <w:rsid w:val="00E877D7"/>
    <w:pPr>
      <w:spacing w:line="240" w:lineRule="auto"/>
    </w:pPr>
    <w:rPr>
      <w:sz w:val="20"/>
      <w:szCs w:val="20"/>
    </w:rPr>
  </w:style>
  <w:style w:type="character" w:customStyle="1" w:styleId="CommentTextChar">
    <w:name w:val="Comment Text Char"/>
    <w:basedOn w:val="DefaultParagraphFont"/>
    <w:link w:val="CommentText"/>
    <w:uiPriority w:val="99"/>
    <w:semiHidden/>
    <w:rsid w:val="00E877D7"/>
    <w:rPr>
      <w:sz w:val="20"/>
      <w:szCs w:val="20"/>
    </w:rPr>
  </w:style>
  <w:style w:type="paragraph" w:styleId="CommentSubject">
    <w:name w:val="annotation subject"/>
    <w:basedOn w:val="CommentText"/>
    <w:next w:val="CommentText"/>
    <w:link w:val="CommentSubjectChar"/>
    <w:uiPriority w:val="99"/>
    <w:semiHidden/>
    <w:unhideWhenUsed/>
    <w:rsid w:val="00E877D7"/>
    <w:rPr>
      <w:b/>
      <w:bCs/>
    </w:rPr>
  </w:style>
  <w:style w:type="character" w:customStyle="1" w:styleId="CommentSubjectChar">
    <w:name w:val="Comment Subject Char"/>
    <w:basedOn w:val="CommentTextChar"/>
    <w:link w:val="CommentSubject"/>
    <w:uiPriority w:val="99"/>
    <w:semiHidden/>
    <w:rsid w:val="00E877D7"/>
    <w:rPr>
      <w:b/>
      <w:bCs/>
      <w:sz w:val="20"/>
      <w:szCs w:val="20"/>
    </w:rPr>
  </w:style>
  <w:style w:type="paragraph" w:styleId="BalloonText">
    <w:name w:val="Balloon Text"/>
    <w:basedOn w:val="Normal"/>
    <w:link w:val="BalloonTextChar"/>
    <w:uiPriority w:val="99"/>
    <w:semiHidden/>
    <w:unhideWhenUsed/>
    <w:rsid w:val="00E877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7D7"/>
    <w:rPr>
      <w:rFonts w:ascii="Segoe UI" w:hAnsi="Segoe UI" w:cs="Segoe UI"/>
      <w:sz w:val="18"/>
      <w:szCs w:val="18"/>
    </w:rPr>
  </w:style>
  <w:style w:type="paragraph" w:styleId="Header">
    <w:name w:val="header"/>
    <w:basedOn w:val="Normal"/>
    <w:link w:val="HeaderChar"/>
    <w:uiPriority w:val="99"/>
    <w:unhideWhenUsed/>
    <w:rsid w:val="00655C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5C09"/>
  </w:style>
  <w:style w:type="paragraph" w:styleId="Footer">
    <w:name w:val="footer"/>
    <w:basedOn w:val="Normal"/>
    <w:link w:val="FooterChar"/>
    <w:uiPriority w:val="99"/>
    <w:unhideWhenUsed/>
    <w:rsid w:val="00655C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a.ie/assets/uploads/2018/11/Gender-Equality-Taskforce-Action-Plan-2018-2020.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hea.ie/assets/uploads/2017/06/HEA-National-Review-of-Gender-Equality-in-Irish-Higher-Education-Institutions.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enderequality@hea.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Woods</dc:creator>
  <cp:keywords/>
  <dc:description/>
  <cp:lastModifiedBy>Maureen.Keogh</cp:lastModifiedBy>
  <cp:revision>2</cp:revision>
  <dcterms:created xsi:type="dcterms:W3CDTF">2020-11-12T16:20:00Z</dcterms:created>
  <dcterms:modified xsi:type="dcterms:W3CDTF">2020-11-12T16:20:00Z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6a2108b-8015-45b4-a03b-cf4c4afb0df7_Enabled">
    <vt:lpwstr>True</vt:lpwstr>
  </property>
  <property fmtid="{D5CDD505-2E9C-101B-9397-08002B2CF9AE}" pid="3" name="MSIP_Label_86a2108b-8015-45b4-a03b-cf4c4afb0df7_SiteId">
    <vt:lpwstr>0aea2147-cbd3-4025-a822-a3fe4746e7af</vt:lpwstr>
  </property>
  <property fmtid="{D5CDD505-2E9C-101B-9397-08002B2CF9AE}" pid="4" name="MSIP_Label_86a2108b-8015-45b4-a03b-cf4c4afb0df7_Owner">
    <vt:lpwstr>rwoods@hea.ie</vt:lpwstr>
  </property>
  <property fmtid="{D5CDD505-2E9C-101B-9397-08002B2CF9AE}" pid="5" name="MSIP_Label_86a2108b-8015-45b4-a03b-cf4c4afb0df7_SetDate">
    <vt:lpwstr>2020-04-20T09:30:39.5472557Z</vt:lpwstr>
  </property>
  <property fmtid="{D5CDD505-2E9C-101B-9397-08002B2CF9AE}" pid="6" name="MSIP_Label_86a2108b-8015-45b4-a03b-cf4c4afb0df7_Name">
    <vt:lpwstr>Public</vt:lpwstr>
  </property>
  <property fmtid="{D5CDD505-2E9C-101B-9397-08002B2CF9AE}" pid="7" name="MSIP_Label_86a2108b-8015-45b4-a03b-cf4c4afb0df7_Application">
    <vt:lpwstr>Microsoft Azure Information Protection</vt:lpwstr>
  </property>
  <property fmtid="{D5CDD505-2E9C-101B-9397-08002B2CF9AE}" pid="8" name="MSIP_Label_86a2108b-8015-45b4-a03b-cf4c4afb0df7_ActionId">
    <vt:lpwstr>b15f2e80-3889-4ee4-a3c6-b66eb9529b16</vt:lpwstr>
  </property>
  <property fmtid="{D5CDD505-2E9C-101B-9397-08002B2CF9AE}" pid="9" name="MSIP_Label_86a2108b-8015-45b4-a03b-cf4c4afb0df7_Extended_MSFT_Method">
    <vt:lpwstr>Manual</vt:lpwstr>
  </property>
  <property fmtid="{D5CDD505-2E9C-101B-9397-08002B2CF9AE}" pid="10" name="Sensitivity">
    <vt:lpwstr>Public</vt:lpwstr>
  </property>
</Properties>
</file>